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1"/>
        <w:tblW w:w="9364" w:type="dxa"/>
        <w:tblInd w:w="0" w:type="dxa"/>
        <w:tblLayout w:type="fixed"/>
        <w:tblCellMar>
          <w:top w:w="0" w:type="dxa"/>
          <w:left w:w="0" w:type="dxa"/>
          <w:bottom w:w="0" w:type="dxa"/>
          <w:right w:w="0" w:type="dxa"/>
        </w:tblCellMar>
      </w:tblPr>
      <w:tblGrid>
        <w:gridCol w:w="509"/>
        <w:gridCol w:w="8855"/>
      </w:tblGrid>
      <w:tr w14:paraId="6B306FEE">
        <w:tblPrEx>
          <w:tblCellMar>
            <w:top w:w="0" w:type="dxa"/>
            <w:left w:w="0" w:type="dxa"/>
            <w:bottom w:w="0" w:type="dxa"/>
            <w:right w:w="0" w:type="dxa"/>
          </w:tblCellMar>
        </w:tblPrEx>
        <w:tc>
          <w:tcPr>
            <w:tcW w:w="509" w:type="dxa"/>
            <w:noWrap w:val="0"/>
            <w:vAlign w:val="top"/>
          </w:tcPr>
          <w:p w14:paraId="59DF47FB">
            <w:pPr>
              <w:pStyle w:val="23"/>
              <w:framePr w:wrap="notBeside" w:vAnchor="page" w:hAnchor="page" w:x="1372" w:y="568"/>
              <w:tabs>
                <w:tab w:val="clear" w:pos="4153"/>
                <w:tab w:val="clear" w:pos="8306"/>
              </w:tabs>
              <w:spacing w:line="240" w:lineRule="auto"/>
              <w:jc w:val="left"/>
              <w:rPr>
                <w:rFonts w:hint="eastAsia"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noWrap w:val="0"/>
            <w:vAlign w:val="top"/>
          </w:tcPr>
          <w:p w14:paraId="3E7FF63E">
            <w:pPr>
              <w:pStyle w:val="23"/>
              <w:framePr w:wrap="notBeside" w:vAnchor="page" w:hAnchor="page" w:x="1372" w:y="568"/>
              <w:tabs>
                <w:tab w:val="clear" w:pos="4153"/>
                <w:tab w:val="clear" w:pos="8306"/>
              </w:tabs>
              <w:spacing w:line="240" w:lineRule="auto"/>
              <w:jc w:val="both"/>
              <w:rPr>
                <w:rFonts w:hint="eastAsia"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37.040.10</w:t>
            </w:r>
            <w:r>
              <w:rPr>
                <w:rFonts w:hint="eastAsia" w:ascii="黑体" w:hAnsi="黑体" w:eastAsia="黑体"/>
                <w:sz w:val="21"/>
                <w:szCs w:val="21"/>
                <w:lang w:eastAsia="zh-CN"/>
              </w:rPr>
              <w:t>；</w:t>
            </w:r>
            <w:r>
              <w:rPr>
                <w:rFonts w:hint="eastAsia" w:ascii="黑体" w:hAnsi="黑体" w:eastAsia="黑体"/>
                <w:sz w:val="21"/>
                <w:szCs w:val="21"/>
                <w:lang w:val="en-US" w:eastAsia="zh-CN"/>
              </w:rPr>
              <w:t>31.260</w:t>
            </w:r>
            <w:r>
              <w:rPr>
                <w:rFonts w:ascii="黑体" w:hAnsi="黑体" w:eastAsia="黑体"/>
                <w:sz w:val="21"/>
                <w:szCs w:val="21"/>
              </w:rPr>
              <w:t>     </w:t>
            </w:r>
            <w:r>
              <w:rPr>
                <w:rFonts w:ascii="黑体" w:hAnsi="黑体" w:eastAsia="黑体"/>
                <w:sz w:val="21"/>
                <w:szCs w:val="21"/>
              </w:rPr>
              <w:fldChar w:fldCharType="end"/>
            </w:r>
            <w:bookmarkEnd w:id="0"/>
          </w:p>
        </w:tc>
      </w:tr>
      <w:tr w14:paraId="392ED7ED">
        <w:tblPrEx>
          <w:tblCellMar>
            <w:top w:w="0" w:type="dxa"/>
            <w:left w:w="0" w:type="dxa"/>
            <w:bottom w:w="0" w:type="dxa"/>
            <w:right w:w="0" w:type="dxa"/>
          </w:tblCellMar>
        </w:tblPrEx>
        <w:tc>
          <w:tcPr>
            <w:tcW w:w="509" w:type="dxa"/>
            <w:noWrap w:val="0"/>
            <w:vAlign w:val="top"/>
          </w:tcPr>
          <w:p w14:paraId="38BC1344">
            <w:pPr>
              <w:pStyle w:val="23"/>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noWrap w:val="0"/>
            <w:vAlign w:val="top"/>
          </w:tcPr>
          <w:tbl>
            <w:tblPr>
              <w:tblStyle w:val="31"/>
              <w:tblpPr w:vertAnchor="page" w:horzAnchor="margin" w:tblpX="1" w:tblpY="341"/>
              <w:tblOverlap w:val="never"/>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113" w:type="dxa"/>
              </w:tblCellMar>
            </w:tblPr>
            <w:tblGrid>
              <w:gridCol w:w="9242"/>
            </w:tblGrid>
            <w:tr w14:paraId="6796DF4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PrEx>
              <w:trPr>
                <w:trHeight w:val="1021" w:hRule="exact"/>
              </w:trPr>
              <w:tc>
                <w:tcPr>
                  <w:tcW w:w="9242" w:type="dxa"/>
                  <w:noWrap w:val="0"/>
                  <w:vAlign w:val="center"/>
                </w:tcPr>
                <w:p w14:paraId="16E10CB5">
                  <w:pPr>
                    <w:pStyle w:val="57"/>
                    <w:framePr w:wrap="notBeside" w:vAnchor="page" w:hAnchor="page" w:x="1372" w:y="568"/>
                    <w:ind w:left="420" w:right="624"/>
                    <w:rPr>
                      <w:rFonts w:hint="eastAsia" w:ascii="宋体" w:hAnsi="宋体"/>
                      <w:sz w:val="28"/>
                      <w:szCs w:val="28"/>
                    </w:rPr>
                  </w:pPr>
                  <w:r>
                    <w:rPr>
                      <w:sz w:val="21"/>
                      <w:szCs w:val="21"/>
                    </w:rPr>
                    <w:t xml:space="preserve"> </w:t>
                  </w:r>
                </w:p>
              </w:tc>
            </w:tr>
          </w:tbl>
          <w:p w14:paraId="4AD43EAA">
            <w:pPr>
              <w:pStyle w:val="23"/>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N 46</w:t>
            </w:r>
            <w:r>
              <w:rPr>
                <w:rFonts w:hint="eastAsia" w:ascii="黑体" w:hAnsi="黑体" w:eastAsia="黑体"/>
                <w:sz w:val="21"/>
                <w:szCs w:val="21"/>
                <w:lang w:eastAsia="zh-CN"/>
              </w:rPr>
              <w:t>；</w:t>
            </w:r>
            <w:r>
              <w:rPr>
                <w:rFonts w:hint="eastAsia" w:ascii="黑体" w:hAnsi="黑体" w:eastAsia="黑体"/>
                <w:sz w:val="21"/>
                <w:szCs w:val="21"/>
                <w:lang w:val="en-US" w:eastAsia="zh-CN"/>
              </w:rPr>
              <w:t>L51</w:t>
            </w:r>
            <w:r>
              <w:rPr>
                <w:rFonts w:ascii="黑体" w:hAnsi="黑体" w:eastAsia="黑体"/>
                <w:sz w:val="21"/>
                <w:szCs w:val="21"/>
              </w:rPr>
              <w:t>     </w:t>
            </w:r>
            <w:r>
              <w:rPr>
                <w:rFonts w:ascii="黑体" w:hAnsi="黑体" w:eastAsia="黑体"/>
                <w:sz w:val="21"/>
                <w:szCs w:val="21"/>
              </w:rPr>
              <w:fldChar w:fldCharType="end"/>
            </w:r>
            <w:bookmarkEnd w:id="1"/>
          </w:p>
        </w:tc>
      </w:tr>
    </w:tbl>
    <w:p w14:paraId="47DE7032">
      <w:pPr>
        <w:pStyle w:val="58"/>
        <w:framePr w:w="9639" w:h="624" w:hRule="exact" w:hSpace="181" w:vSpace="181" w:vAnchor="page" w:hAnchor="page" w:x="1305" w:y="2269"/>
        <w:rPr>
          <w:rFonts w:hint="eastAsia" w:ascii="黑体" w:hAnsi="黑体" w:eastAsia="黑体"/>
          <w:b w:val="0"/>
          <w:bCs w:val="0"/>
          <w:w w:val="100"/>
          <w:sz w:val="48"/>
          <w:szCs w:val="48"/>
        </w:rPr>
      </w:pPr>
      <w:bookmarkStart w:id="2" w:name="_Hlk26473981"/>
      <w:r>
        <w:rPr>
          <w:rFonts w:hint="eastAsia" w:ascii="黑体" w:eastAsia="黑体"/>
          <w:b w:val="0"/>
          <w:w w:val="100"/>
          <w:sz w:val="48"/>
        </w:rPr>
        <w:t>团体</w:t>
      </w:r>
      <w:r>
        <w:rPr>
          <w:rFonts w:hint="eastAsia" w:ascii="黑体" w:hAnsi="黑体" w:eastAsia="黑体"/>
          <w:b w:val="0"/>
          <w:bCs w:val="0"/>
          <w:w w:val="100"/>
          <w:sz w:val="48"/>
          <w:szCs w:val="48"/>
        </w:rPr>
        <w:t>标准</w:t>
      </w:r>
    </w:p>
    <w:bookmarkEnd w:id="2"/>
    <w:p w14:paraId="1CBC7C94">
      <w:pPr>
        <w:pStyle w:val="197"/>
      </w:pPr>
      <w:r>
        <w:t>T/</w:t>
      </w:r>
      <w:r>
        <w:fldChar w:fldCharType="begin">
          <w:ffData>
            <w:name w:val="文字1"/>
            <w:enabled/>
            <w:calcOnExit w:val="0"/>
            <w:textInput>
              <w:default w:val="XXX"/>
            </w:textInput>
          </w:ffData>
        </w:fldChar>
      </w:r>
      <w:bookmarkStart w:id="3" w:name="文字1"/>
      <w:r>
        <w:instrText xml:space="preserve"> FORMTEXT </w:instrText>
      </w:r>
      <w:r>
        <w:fldChar w:fldCharType="separate"/>
      </w:r>
      <w:r>
        <w:rPr>
          <w:rFonts w:hint="eastAsia"/>
        </w:rPr>
        <w:t>CCOEA</w:t>
      </w:r>
      <w:r>
        <w:fldChar w:fldCharType="end"/>
      </w:r>
      <w:bookmarkEnd w:id="3"/>
      <w:r>
        <w:t xml:space="preserve"> </w:t>
      </w:r>
      <w:r>
        <w:fldChar w:fldCharType="begin">
          <w:ffData>
            <w:name w:val="NSTD_CODE_F"/>
            <w:enabled/>
            <w:calcOnExit w:val="0"/>
            <w:textInput>
              <w:default w:val="XXXX"/>
            </w:textInput>
          </w:ffData>
        </w:fldChar>
      </w:r>
      <w:bookmarkStart w:id="4" w:name="NSTD_CODE_F"/>
      <w:r>
        <w:instrText xml:space="preserve"> FORMTEXT </w:instrText>
      </w:r>
      <w:r>
        <w:fldChar w:fldCharType="separate"/>
      </w:r>
      <w:r>
        <w:rPr>
          <w:rFonts w:hint="eastAsia"/>
        </w:rPr>
        <w:t>XX</w:t>
      </w:r>
      <w:r>
        <w:fldChar w:fldCharType="end"/>
      </w:r>
      <w:bookmarkEnd w:id="4"/>
      <w:r>
        <w:rPr>
          <w:rFonts w:hAnsi="黑体"/>
        </w:rPr>
        <w:t>—</w:t>
      </w:r>
      <w:r>
        <w:fldChar w:fldCharType="begin">
          <w:ffData>
            <w:name w:val="NSTD_CODE_B"/>
            <w:enabled/>
            <w:calcOnExit w:val="0"/>
            <w:textInput>
              <w:default w:val="XXXX"/>
            </w:textInput>
          </w:ffData>
        </w:fldChar>
      </w:r>
      <w:bookmarkStart w:id="5" w:name="NSTD_CODE_B"/>
      <w:r>
        <w:instrText xml:space="preserve"> FORMTEXT </w:instrText>
      </w:r>
      <w:r>
        <w:fldChar w:fldCharType="separate"/>
      </w:r>
      <w:r>
        <w:rPr>
          <w:rFonts w:hint="eastAsia"/>
        </w:rPr>
        <w:t>20XX</w:t>
      </w:r>
      <w:r>
        <w:fldChar w:fldCharType="end"/>
      </w:r>
      <w:bookmarkEnd w:id="5"/>
    </w:p>
    <w:p w14:paraId="4C344500">
      <w:pPr>
        <w:pStyle w:val="198"/>
        <w:rPr>
          <w:rFonts w:hint="eastAsia" w:hAnsi="黑体"/>
        </w:rPr>
      </w:pPr>
      <w:r>
        <w:rPr>
          <w:rFonts w:hAnsi="黑体"/>
        </w:rPr>
        <w:fldChar w:fldCharType="begin">
          <w:ffData>
            <w:name w:val="OSTD_CODE"/>
            <w:enabled/>
            <w:calcOnExit w:val="0"/>
            <w:textInput/>
          </w:ffData>
        </w:fldChar>
      </w:r>
      <w:bookmarkStart w:id="6"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6"/>
    </w:p>
    <w:p w14:paraId="60335236">
      <w:pPr>
        <w:spacing w:line="240" w:lineRule="auto"/>
        <w:rPr>
          <w:rFonts w:hint="eastAsia" w:ascii="黑体" w:hAnsi="黑体" w:eastAsia="黑体"/>
          <w:kern w:val="0"/>
          <w:sz w:val="10"/>
          <w:szCs w:val="10"/>
        </w:rPr>
      </w:pPr>
      <w: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4445" r="0" b="5080"/>
                <wp:wrapNone/>
                <wp:docPr id="1"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a:effectLst/>
                      </wps:spPr>
                      <wps:bodyPr/>
                    </wps:wsp>
                  </a:graphicData>
                </a:graphic>
              </wp:anchor>
            </w:drawing>
          </mc:Choice>
          <mc:Fallback>
            <w:pict>
              <v:line id="直接连接符 73"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J4NJ&#10;ltgAAAAMAQAADwAAAAAAAAABACAAAAAiAAAAZHJzL2Rvd25yZXYueG1sUEsBAhQAFAAAAAgAh07i&#10;QGYQhibpAQAAuQMAAA4AAAAAAAAAAQAgAAAAJwEAAGRycy9lMm9Eb2MueG1sUEsFBgAAAAAGAAYA&#10;WQEAAIIFAAAAAA==&#10;">
                <v:fill on="f" focussize="0,0"/>
                <v:stroke color="#000000" joinstyle="round"/>
                <v:imagedata o:title=""/>
                <o:lock v:ext="edit" aspectratio="f"/>
              </v:line>
            </w:pict>
          </mc:Fallback>
        </mc:AlternateContent>
      </w:r>
    </w:p>
    <w:p w14:paraId="23FEA135">
      <w:pPr>
        <w:pStyle w:val="58"/>
        <w:framePr w:w="9639" w:h="6976" w:hRule="exact" w:hSpace="0" w:vSpace="0" w:vAnchor="page" w:hAnchor="page" w:y="6408"/>
        <w:jc w:val="center"/>
        <w:rPr>
          <w:rFonts w:hint="eastAsia" w:ascii="黑体" w:hAnsi="黑体" w:eastAsia="黑体"/>
          <w:b w:val="0"/>
          <w:bCs w:val="0"/>
          <w:w w:val="100"/>
        </w:rPr>
      </w:pPr>
    </w:p>
    <w:p w14:paraId="17DFEB07">
      <w:pPr>
        <w:pStyle w:val="199"/>
        <w:framePr w:h="6974" w:hRule="exact" w:wrap="around" w:x="1419" w:anchorLock="1"/>
        <w:rPr>
          <w:rFonts w:hint="eastAsia"/>
        </w:rPr>
      </w:pPr>
      <w:r>
        <w:fldChar w:fldCharType="begin">
          <w:ffData>
            <w:name w:val="CSTD_NAME"/>
            <w:enabled/>
            <w:calcOnExit w:val="0"/>
            <w:textInput>
              <w:default w:val="点击此处添加标准名称"/>
            </w:textInput>
          </w:ffData>
        </w:fldChar>
      </w:r>
      <w:bookmarkStart w:id="7" w:name="CSTD_NAME"/>
      <w:r>
        <w:instrText xml:space="preserve"> FORMTEXT </w:instrText>
      </w:r>
      <w:r>
        <w:fldChar w:fldCharType="separate"/>
      </w:r>
      <w:r>
        <w:rPr>
          <w:rFonts w:hint="eastAsia"/>
        </w:rPr>
        <w:t>照相用电子闪光灯光辐射</w:t>
      </w:r>
    </w:p>
    <w:p w14:paraId="2463365A">
      <w:pPr>
        <w:pStyle w:val="199"/>
        <w:framePr w:h="6974" w:hRule="exact" w:wrap="around" w:x="1419" w:anchorLock="1"/>
        <w:rPr>
          <w:rFonts w:hint="eastAsia"/>
        </w:rPr>
      </w:pPr>
      <w:r>
        <w:rPr>
          <w:rFonts w:hint="eastAsia"/>
        </w:rPr>
        <w:t>安全风险管控和评估指南</w:t>
      </w:r>
      <w:r>
        <w:fldChar w:fldCharType="end"/>
      </w:r>
      <w:bookmarkEnd w:id="7"/>
    </w:p>
    <w:p w14:paraId="34315B3B">
      <w:pPr>
        <w:framePr w:w="9639" w:h="6974" w:hRule="exact" w:wrap="around" w:vAnchor="page" w:hAnchor="page" w:x="1419" w:y="6408" w:anchorLock="1"/>
        <w:ind w:left="-1418"/>
      </w:pPr>
    </w:p>
    <w:p w14:paraId="1F82B62B">
      <w:pPr>
        <w:pStyle w:val="129"/>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8" w:name="ESTD_NAME"/>
      <w:r>
        <w:rPr>
          <w:rFonts w:eastAsia="黑体"/>
          <w:szCs w:val="28"/>
        </w:rPr>
        <w:instrText xml:space="preserve"> FORMTEXT </w:instrText>
      </w:r>
      <w:r>
        <w:rPr>
          <w:rFonts w:eastAsia="黑体"/>
          <w:szCs w:val="28"/>
        </w:rPr>
        <w:fldChar w:fldCharType="separate"/>
      </w:r>
      <w:r>
        <w:rPr>
          <w:rFonts w:eastAsia="黑体"/>
          <w:szCs w:val="28"/>
        </w:rPr>
        <w:t>Guidelines for control and assessment of electronic flash lights radiation safety risk for photography     </w:t>
      </w:r>
      <w:r>
        <w:rPr>
          <w:rFonts w:eastAsia="黑体"/>
          <w:szCs w:val="28"/>
        </w:rPr>
        <w:fldChar w:fldCharType="end"/>
      </w:r>
      <w:bookmarkEnd w:id="8"/>
    </w:p>
    <w:p w14:paraId="4A9865B9">
      <w:pPr>
        <w:framePr w:w="9639" w:h="6974" w:hRule="exact" w:wrap="around" w:vAnchor="page" w:hAnchor="page" w:x="1419" w:y="6408" w:anchorLock="1"/>
        <w:spacing w:line="760" w:lineRule="exact"/>
        <w:ind w:left="-1418"/>
      </w:pPr>
    </w:p>
    <w:p w14:paraId="47C1762A">
      <w:pPr>
        <w:pStyle w:val="129"/>
        <w:framePr w:w="9639" w:h="6974" w:hRule="exact" w:wrap="around" w:vAnchor="page" w:hAnchor="page" w:x="1419" w:y="6408" w:anchorLock="1"/>
        <w:textAlignment w:val="bottom"/>
        <w:rPr>
          <w:rFonts w:eastAsia="黑体"/>
          <w:szCs w:val="28"/>
        </w:rPr>
      </w:pPr>
    </w:p>
    <w:p w14:paraId="20A770E9">
      <w:pPr>
        <w:pStyle w:val="129"/>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9" w:name="下拉1"/>
      <w:r>
        <w:rPr>
          <w:sz w:val="24"/>
          <w:szCs w:val="28"/>
        </w:rPr>
        <w:instrText xml:space="preserve"> FORMDROPDOWN </w:instrText>
      </w:r>
      <w:r>
        <w:rPr>
          <w:sz w:val="24"/>
          <w:szCs w:val="28"/>
        </w:rPr>
        <w:fldChar w:fldCharType="separate"/>
      </w:r>
      <w:r>
        <w:rPr>
          <w:sz w:val="24"/>
          <w:szCs w:val="28"/>
        </w:rPr>
        <w:fldChar w:fldCharType="end"/>
      </w:r>
      <w:bookmarkEnd w:id="9"/>
    </w:p>
    <w:p w14:paraId="2E68D1B0">
      <w:pPr>
        <w:pStyle w:val="129"/>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0"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0"/>
    </w:p>
    <w:p w14:paraId="085FD408">
      <w:pPr>
        <w:pStyle w:val="129"/>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1" w:name="下拉2"/>
      <w:r>
        <w:rPr>
          <w:b/>
          <w:sz w:val="21"/>
          <w:szCs w:val="28"/>
        </w:rPr>
        <w:instrText xml:space="preserve"> FORMDROPDOWN </w:instrText>
      </w:r>
      <w:r>
        <w:rPr>
          <w:b/>
          <w:sz w:val="21"/>
          <w:szCs w:val="28"/>
        </w:rPr>
        <w:fldChar w:fldCharType="separate"/>
      </w:r>
      <w:r>
        <w:rPr>
          <w:b/>
          <w:sz w:val="21"/>
          <w:szCs w:val="28"/>
        </w:rPr>
        <w:fldChar w:fldCharType="end"/>
      </w:r>
      <w:bookmarkEnd w:id="11"/>
    </w:p>
    <w:p w14:paraId="3C038969">
      <w:pPr>
        <w:pStyle w:val="195"/>
        <w:framePr w:y="14176"/>
      </w:pPr>
      <w:r>
        <w:rPr>
          <w:rFonts w:ascii="黑体"/>
        </w:rPr>
        <w:fldChar w:fldCharType="begin">
          <w:ffData>
            <w:name w:val="PLSH_DATE_Y"/>
            <w:enabled/>
            <w:calcOnExit w:val="0"/>
            <w:textInput>
              <w:default w:val="XXXX"/>
              <w:maxLength w:val="4"/>
            </w:textInput>
          </w:ffData>
        </w:fldChar>
      </w:r>
      <w:bookmarkStart w:id="12"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2"/>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3"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3"/>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4"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4"/>
      <w:r>
        <w:rPr>
          <w:rFonts w:hint="eastAsia"/>
        </w:rPr>
        <w:t>发布</w:t>
      </w:r>
    </w:p>
    <w:p w14:paraId="1EB64D40">
      <w:pPr>
        <w:pStyle w:val="196"/>
        <w:framePr w:y="14176"/>
      </w:pPr>
      <w:r>
        <w:rPr>
          <w:rFonts w:ascii="黑体"/>
        </w:rPr>
        <w:fldChar w:fldCharType="begin">
          <w:ffData>
            <w:name w:val="CROT_DATE_Y"/>
            <w:enabled/>
            <w:calcOnExit w:val="0"/>
            <w:textInput>
              <w:default w:val="XXXX"/>
              <w:maxLength w:val="4"/>
            </w:textInput>
          </w:ffData>
        </w:fldChar>
      </w:r>
      <w:bookmarkStart w:id="15"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5"/>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6"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7"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7"/>
      <w:r>
        <w:rPr>
          <w:rFonts w:hint="eastAsia"/>
        </w:rPr>
        <w:t>实施</w:t>
      </w:r>
    </w:p>
    <w:p w14:paraId="581FD674">
      <w:pPr>
        <w:pStyle w:val="155"/>
        <w:framePr w:h="584" w:hRule="exact" w:hSpace="181" w:vSpace="181" w:y="14800"/>
        <w:rPr>
          <w:rFonts w:hint="eastAsia" w:hAnsi="黑体"/>
        </w:rPr>
      </w:pPr>
      <w:r>
        <w:rPr>
          <w:rFonts w:hAnsi="黑体"/>
          <w:w w:val="100"/>
          <w:sz w:val="28"/>
        </w:rPr>
        <w:fldChar w:fldCharType="begin">
          <w:ffData>
            <w:name w:val="fm"/>
            <w:enabled/>
            <w:calcOnExit w:val="0"/>
            <w:textInput/>
          </w:ffData>
        </w:fldChar>
      </w:r>
      <w:bookmarkStart w:id="18" w:name="fm"/>
      <w:r>
        <w:rPr>
          <w:rFonts w:hAnsi="黑体"/>
          <w:w w:val="100"/>
          <w:sz w:val="28"/>
        </w:rPr>
        <w:instrText xml:space="preserve"> FORMTEXT </w:instrText>
      </w:r>
      <w:r>
        <w:rPr>
          <w:rFonts w:hAnsi="黑体"/>
          <w:w w:val="100"/>
          <w:sz w:val="28"/>
        </w:rPr>
        <w:fldChar w:fldCharType="separate"/>
      </w:r>
      <w:r>
        <w:rPr>
          <w:rFonts w:hAnsi="黑体"/>
          <w:w w:val="100"/>
          <w:sz w:val="28"/>
        </w:rPr>
        <w:t>中国文化办公设备制造行业协会</w:t>
      </w:r>
      <w:r>
        <w:rPr>
          <w:rFonts w:hAnsi="黑体"/>
          <w:w w:val="100"/>
          <w:sz w:val="28"/>
        </w:rPr>
        <w:fldChar w:fldCharType="end"/>
      </w:r>
      <w:bookmarkEnd w:id="18"/>
      <w:r>
        <w:rPr>
          <w:rFonts w:ascii="Times New Roman"/>
          <w:w w:val="100"/>
          <w:sz w:val="28"/>
        </w:rPr>
        <w:t>  </w:t>
      </w:r>
      <w:r>
        <w:rPr>
          <w:rStyle w:val="231"/>
          <w:rFonts w:hint="eastAsia" w:hAnsi="黑体"/>
          <w:position w:val="0"/>
        </w:rPr>
        <w:t>发</w:t>
      </w:r>
      <w:r>
        <w:rPr>
          <w:rStyle w:val="231"/>
          <w:rFonts w:hint="eastAsia" w:hAnsi="黑体"/>
          <w:spacing w:val="0"/>
          <w:position w:val="0"/>
        </w:rPr>
        <w:t>布</w:t>
      </w:r>
    </w:p>
    <w:p w14:paraId="5BC609EF">
      <w:pPr>
        <w:rPr>
          <w:rFonts w:hint="eastAsia"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567" w:right="1134" w:bottom="1134" w:left="1134" w:header="1418" w:footer="1134" w:gutter="284"/>
          <w:pgBorders>
            <w:top w:val="none" w:sz="0" w:space="0"/>
            <w:left w:val="none" w:sz="0" w:space="0"/>
            <w:bottom w:val="none" w:sz="0" w:space="0"/>
            <w:right w:val="none" w:sz="0" w:space="0"/>
          </w:pgBorders>
          <w:cols w:space="720" w:num="1"/>
          <w:titlePg/>
          <w:docGrid w:linePitch="312" w:charSpace="0"/>
        </w:sectPr>
      </w:pPr>
      <w: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4445" r="0" b="5080"/>
                <wp:wrapNone/>
                <wp:docPr id="2"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a:effectLst/>
                      </wps:spPr>
                      <wps:bodyPr/>
                    </wps:wsp>
                  </a:graphicData>
                </a:graphic>
              </wp:anchor>
            </w:drawing>
          </mc:Choice>
          <mc:Fallback>
            <w:pict>
              <v:line id="直接连接符 5"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KszHPvX&#10;AAAADgEAAA8AAAAAAAAAAQAgAAAAIgAAAGRycy9kb3ducmV2LnhtbFBLAQIUABQAAAAIAIdO4kDN&#10;6QEs6AEAALgDAAAOAAAAAAAAAAEAIAAAACYBAABkcnMvZTJvRG9jLnhtbFBLBQYAAAAABgAGAFkB&#10;AACABQAAAAA=&#10;">
                <v:fill on="f" focussize="0,0"/>
                <v:stroke color="#000000" joinstyle="round"/>
                <v:imagedata o:title=""/>
                <o:lock v:ext="edit" aspectratio="f"/>
                <w10:anchorlock/>
              </v:line>
            </w:pict>
          </mc:Fallback>
        </mc:AlternateContent>
      </w:r>
    </w:p>
    <w:p w14:paraId="293D3795">
      <w:pPr>
        <w:pStyle w:val="98"/>
        <w:spacing w:after="360"/>
        <w:rPr>
          <w:rFonts w:hint="eastAsia"/>
        </w:rPr>
      </w:pPr>
      <w:bookmarkStart w:id="19" w:name="_Toc176945992"/>
      <w:bookmarkStart w:id="20" w:name="_Toc18314"/>
      <w:bookmarkStart w:id="21" w:name="_Toc10676"/>
      <w:bookmarkStart w:id="22" w:name="_Toc21924"/>
      <w:bookmarkStart w:id="23" w:name="BookMark2"/>
      <w:bookmarkStart w:id="24" w:name="BookMark1"/>
      <w:r>
        <w:rPr>
          <w:rFonts w:hint="eastAsia"/>
          <w:spacing w:val="320"/>
        </w:rPr>
        <w:t>目</w:t>
      </w:r>
      <w:r>
        <w:rPr>
          <w:rFonts w:hint="eastAsia"/>
        </w:rPr>
        <w:t>次</w:t>
      </w:r>
    </w:p>
    <w:sdt>
      <w:sdtPr>
        <w:rPr>
          <w:rFonts w:ascii="宋体" w:hAnsi="宋体" w:eastAsia="宋体" w:cs="Times New Roman"/>
          <w:kern w:val="2"/>
          <w:sz w:val="21"/>
          <w:szCs w:val="21"/>
          <w:lang w:val="en-US" w:eastAsia="zh-CN" w:bidi="ar-SA"/>
        </w:rPr>
        <w:id w:val="147468201"/>
        <w15:color w:val="DBDBDB"/>
        <w:docPartObj>
          <w:docPartGallery w:val="Table of Contents"/>
          <w:docPartUnique/>
        </w:docPartObj>
      </w:sdtPr>
      <w:sdtEndPr>
        <w:rPr>
          <w:rFonts w:ascii="Times New Roman" w:hAnsi="Times New Roman" w:eastAsia="宋体" w:cs="Times New Roman"/>
          <w:kern w:val="2"/>
          <w:sz w:val="21"/>
          <w:szCs w:val="21"/>
          <w:lang w:val="en-US" w:eastAsia="zh-CN" w:bidi="ar-SA"/>
        </w:rPr>
      </w:sdtEndPr>
      <w:sdtContent>
        <w:p w14:paraId="6EB0F789">
          <w:pPr>
            <w:spacing w:before="0" w:beforeLines="0" w:after="0" w:afterLines="0" w:line="240" w:lineRule="auto"/>
            <w:ind w:left="0" w:leftChars="0" w:right="0" w:rightChars="0" w:firstLine="0" w:firstLineChars="0"/>
            <w:jc w:val="center"/>
          </w:pPr>
        </w:p>
        <w:p w14:paraId="4C3A4D95">
          <w:pPr>
            <w:pStyle w:val="24"/>
            <w:tabs>
              <w:tab w:val="right" w:leader="dot" w:pos="9354"/>
            </w:tabs>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TOC \o "1-3" \h \u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_Toc18781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lang w:val="en-US" w:eastAsia="zh-CN"/>
            </w:rPr>
            <w:t>前</w:t>
          </w:r>
          <w:r>
            <w:rPr>
              <w:rFonts w:hint="eastAsia" w:asciiTheme="minorEastAsia" w:hAnsiTheme="minorEastAsia" w:eastAsiaTheme="minorEastAsia" w:cstheme="minorEastAsia"/>
            </w:rPr>
            <w:t>言</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_Toc18781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II</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106AB8B9">
          <w:pPr>
            <w:pStyle w:val="24"/>
            <w:tabs>
              <w:tab w:val="right" w:leader="dot" w:pos="9354"/>
            </w:tabs>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_Toc27227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i w:val="0"/>
            </w:rPr>
            <w:t xml:space="preserve">1 </w:t>
          </w:r>
          <w:r>
            <w:rPr>
              <w:rFonts w:hint="eastAsia" w:asciiTheme="minorEastAsia" w:hAnsiTheme="minorEastAsia" w:eastAsiaTheme="minorEastAsia" w:cstheme="minorEastAsia"/>
            </w:rPr>
            <w:t>范围</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_Toc27227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06D2F893">
          <w:pPr>
            <w:pStyle w:val="24"/>
            <w:tabs>
              <w:tab w:val="right" w:leader="dot" w:pos="9354"/>
            </w:tabs>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_Toc16896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i w:val="0"/>
            </w:rPr>
            <w:t xml:space="preserve">2 </w:t>
          </w:r>
          <w:r>
            <w:rPr>
              <w:rFonts w:hint="eastAsia" w:asciiTheme="minorEastAsia" w:hAnsiTheme="minorEastAsia" w:eastAsiaTheme="minorEastAsia" w:cstheme="minorEastAsia"/>
            </w:rPr>
            <w:t>规范性引用文件</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_Toc16896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0BE63196">
          <w:pPr>
            <w:pStyle w:val="24"/>
            <w:tabs>
              <w:tab w:val="right" w:leader="dot" w:pos="9354"/>
            </w:tabs>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_Toc8167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i w:val="0"/>
            </w:rPr>
            <w:t xml:space="preserve">3 </w:t>
          </w:r>
          <w:r>
            <w:rPr>
              <w:rFonts w:hint="eastAsia" w:asciiTheme="minorEastAsia" w:hAnsiTheme="minorEastAsia" w:eastAsiaTheme="minorEastAsia" w:cstheme="minorEastAsia"/>
              <w:szCs w:val="21"/>
            </w:rPr>
            <w:t>术语和定义</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_Toc8167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5E076FE3">
          <w:pPr>
            <w:pStyle w:val="24"/>
            <w:tabs>
              <w:tab w:val="right" w:leader="dot" w:pos="9354"/>
            </w:tabs>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_Toc22938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i w:val="0"/>
              <w:szCs w:val="21"/>
            </w:rPr>
            <w:t xml:space="preserve">4 </w:t>
          </w:r>
          <w:r>
            <w:rPr>
              <w:rFonts w:hint="eastAsia" w:asciiTheme="minorEastAsia" w:hAnsiTheme="minorEastAsia" w:eastAsiaTheme="minorEastAsia" w:cstheme="minorEastAsia"/>
              <w:szCs w:val="21"/>
              <w:lang w:val="en-US" w:eastAsia="zh-CN"/>
            </w:rPr>
            <w:t>光辐射安全风险通用</w:t>
          </w:r>
          <w:r>
            <w:rPr>
              <w:rFonts w:hint="eastAsia" w:asciiTheme="minorEastAsia" w:hAnsiTheme="minorEastAsia" w:eastAsiaTheme="minorEastAsia" w:cstheme="minorEastAsia"/>
              <w:szCs w:val="21"/>
            </w:rPr>
            <w:t>分级和</w:t>
          </w:r>
          <w:r>
            <w:rPr>
              <w:rFonts w:hint="eastAsia" w:asciiTheme="minorEastAsia" w:hAnsiTheme="minorEastAsia" w:eastAsiaTheme="minorEastAsia" w:cstheme="minorEastAsia"/>
              <w:szCs w:val="21"/>
              <w:lang w:val="en-US" w:eastAsia="zh-CN"/>
            </w:rPr>
            <w:t>专业</w:t>
          </w:r>
          <w:r>
            <w:rPr>
              <w:rFonts w:hint="eastAsia" w:asciiTheme="minorEastAsia" w:hAnsiTheme="minorEastAsia" w:eastAsiaTheme="minorEastAsia" w:cstheme="minorEastAsia"/>
              <w:szCs w:val="21"/>
            </w:rPr>
            <w:t>分类</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_Toc22938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308A99E3">
          <w:pPr>
            <w:pStyle w:val="29"/>
            <w:tabs>
              <w:tab w:val="right" w:leader="dot" w:pos="9354"/>
              <w:tab w:val="clear" w:pos="9344"/>
            </w:tabs>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_Toc27767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vertAlign w:val="baseline"/>
            </w:rPr>
            <w:t xml:space="preserve">4.1 </w:t>
          </w:r>
          <w:r>
            <w:rPr>
              <w:rFonts w:hint="eastAsia" w:asciiTheme="minorEastAsia" w:hAnsiTheme="minorEastAsia" w:eastAsiaTheme="minorEastAsia" w:cstheme="minorEastAsia"/>
            </w:rPr>
            <w:t>照相用电子闪光灯光辐射安全风险</w:t>
          </w:r>
          <w:r>
            <w:rPr>
              <w:rFonts w:hint="eastAsia" w:asciiTheme="minorEastAsia" w:hAnsiTheme="minorEastAsia" w:eastAsiaTheme="minorEastAsia" w:cstheme="minorEastAsia"/>
              <w:lang w:val="en-US" w:eastAsia="zh-CN"/>
            </w:rPr>
            <w:t>通用分级</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_Toc27767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bookmarkStart w:id="134" w:name="_GoBack"/>
          <w:bookmarkEnd w:id="134"/>
        </w:p>
        <w:p w14:paraId="3D8455ED">
          <w:pPr>
            <w:pStyle w:val="29"/>
            <w:tabs>
              <w:tab w:val="right" w:leader="dot" w:pos="9354"/>
              <w:tab w:val="clear" w:pos="9344"/>
            </w:tabs>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_Toc1392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vertAlign w:val="baseline"/>
            </w:rPr>
            <w:t xml:space="preserve">4.2 </w:t>
          </w:r>
          <w:r>
            <w:rPr>
              <w:rFonts w:hint="eastAsia" w:asciiTheme="minorEastAsia" w:hAnsiTheme="minorEastAsia" w:eastAsiaTheme="minorEastAsia" w:cstheme="minorEastAsia"/>
            </w:rPr>
            <w:t>照相用电子闪光灯光辐射安全风险</w:t>
          </w:r>
          <w:r>
            <w:rPr>
              <w:rFonts w:hint="eastAsia" w:asciiTheme="minorEastAsia" w:hAnsiTheme="minorEastAsia" w:eastAsiaTheme="minorEastAsia" w:cstheme="minorEastAsia"/>
              <w:lang w:val="en-US" w:eastAsia="zh-CN"/>
            </w:rPr>
            <w:t>专业</w:t>
          </w:r>
          <w:r>
            <w:rPr>
              <w:rFonts w:hint="eastAsia" w:asciiTheme="minorEastAsia" w:hAnsiTheme="minorEastAsia" w:eastAsiaTheme="minorEastAsia" w:cstheme="minorEastAsia"/>
            </w:rPr>
            <w:t>分类</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_Toc1392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20216004">
          <w:pPr>
            <w:pStyle w:val="29"/>
            <w:tabs>
              <w:tab w:val="right" w:leader="dot" w:pos="9354"/>
              <w:tab w:val="clear" w:pos="9344"/>
            </w:tabs>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_Toc20873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vertAlign w:val="baseline"/>
            </w:rPr>
            <w:t xml:space="preserve">4.3 </w:t>
          </w:r>
          <w:r>
            <w:rPr>
              <w:rFonts w:hint="eastAsia" w:asciiTheme="minorEastAsia" w:hAnsiTheme="minorEastAsia" w:eastAsiaTheme="minorEastAsia" w:cstheme="minorEastAsia"/>
            </w:rPr>
            <w:t>照相用电子闪光灯光辐射安全风险</w:t>
          </w:r>
          <w:r>
            <w:rPr>
              <w:rFonts w:hint="eastAsia" w:asciiTheme="minorEastAsia" w:hAnsiTheme="minorEastAsia" w:eastAsiaTheme="minorEastAsia" w:cstheme="minorEastAsia"/>
              <w:kern w:val="0"/>
              <w:szCs w:val="20"/>
              <w:lang w:val="en-US" w:eastAsia="zh-CN" w:bidi="ar"/>
            </w:rPr>
            <w:t>专业分类和通用分级的对应关系</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_Toc20873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2DFDF79B">
          <w:pPr>
            <w:pStyle w:val="24"/>
            <w:tabs>
              <w:tab w:val="right" w:leader="dot" w:pos="9354"/>
            </w:tabs>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_Toc17702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i w:val="0"/>
              <w:szCs w:val="21"/>
            </w:rPr>
            <w:t xml:space="preserve">5 </w:t>
          </w:r>
          <w:r>
            <w:rPr>
              <w:rFonts w:hint="eastAsia" w:asciiTheme="minorEastAsia" w:hAnsiTheme="minorEastAsia" w:eastAsiaTheme="minorEastAsia" w:cstheme="minorEastAsia"/>
              <w:szCs w:val="21"/>
              <w:lang w:val="en-US" w:eastAsia="zh-CN"/>
            </w:rPr>
            <w:t>光辐射安全</w:t>
          </w:r>
          <w:r>
            <w:rPr>
              <w:rFonts w:hint="eastAsia" w:asciiTheme="minorEastAsia" w:hAnsiTheme="minorEastAsia" w:eastAsiaTheme="minorEastAsia" w:cstheme="minorEastAsia"/>
              <w:szCs w:val="21"/>
            </w:rPr>
            <w:t>管理和控制要求</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_Toc17702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47371749">
          <w:pPr>
            <w:pStyle w:val="29"/>
            <w:tabs>
              <w:tab w:val="right" w:leader="dot" w:pos="9354"/>
              <w:tab w:val="clear" w:pos="9344"/>
            </w:tabs>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_Toc19395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vertAlign w:val="baseline"/>
            </w:rPr>
            <w:t xml:space="preserve">5.1 </w:t>
          </w:r>
          <w:r>
            <w:rPr>
              <w:rFonts w:hint="eastAsia" w:asciiTheme="minorEastAsia" w:hAnsiTheme="minorEastAsia" w:eastAsiaTheme="minorEastAsia" w:cstheme="minorEastAsia"/>
            </w:rPr>
            <w:t>通用要求</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_Toc19395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17B48AB1">
          <w:pPr>
            <w:pStyle w:val="29"/>
            <w:tabs>
              <w:tab w:val="right" w:leader="dot" w:pos="9354"/>
              <w:tab w:val="clear" w:pos="9344"/>
            </w:tabs>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_Toc6138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vertAlign w:val="baseline"/>
            </w:rPr>
            <w:t xml:space="preserve">5.2 </w:t>
          </w:r>
          <w:r>
            <w:rPr>
              <w:rFonts w:hint="eastAsia" w:asciiTheme="minorEastAsia" w:hAnsiTheme="minorEastAsia" w:eastAsiaTheme="minorEastAsia" w:cstheme="minorEastAsia"/>
            </w:rPr>
            <w:t>管理和分类控制要求</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_Toc6138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2BDA7C27">
          <w:pPr>
            <w:pStyle w:val="24"/>
            <w:tabs>
              <w:tab w:val="right" w:leader="dot" w:pos="9354"/>
            </w:tabs>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_Toc17888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i w:val="0"/>
              <w:szCs w:val="21"/>
            </w:rPr>
            <w:t xml:space="preserve">6 </w:t>
          </w:r>
          <w:r>
            <w:rPr>
              <w:rFonts w:hint="eastAsia" w:asciiTheme="minorEastAsia" w:hAnsiTheme="minorEastAsia" w:eastAsiaTheme="minorEastAsia" w:cstheme="minorEastAsia"/>
              <w:szCs w:val="21"/>
              <w:lang w:val="en-US" w:eastAsia="zh-CN"/>
            </w:rPr>
            <w:t>光辐射安全风险</w:t>
          </w:r>
          <w:r>
            <w:rPr>
              <w:rFonts w:hint="eastAsia" w:asciiTheme="minorEastAsia" w:hAnsiTheme="minorEastAsia" w:eastAsiaTheme="minorEastAsia" w:cstheme="minorEastAsia"/>
              <w:szCs w:val="21"/>
            </w:rPr>
            <w:t>评估</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_Toc17888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561B9FD7">
          <w:pPr>
            <w:pStyle w:val="29"/>
            <w:tabs>
              <w:tab w:val="right" w:leader="dot" w:pos="9354"/>
              <w:tab w:val="clear" w:pos="9344"/>
            </w:tabs>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_Toc11393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vertAlign w:val="baseline"/>
            </w:rPr>
            <w:t xml:space="preserve">6.1 </w:t>
          </w:r>
          <w:r>
            <w:rPr>
              <w:rFonts w:hint="eastAsia" w:asciiTheme="minorEastAsia" w:hAnsiTheme="minorEastAsia" w:eastAsiaTheme="minorEastAsia" w:cstheme="minorEastAsia"/>
            </w:rPr>
            <w:t>检验规则</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_Toc11393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3</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7D532BD5">
          <w:pPr>
            <w:pStyle w:val="29"/>
            <w:tabs>
              <w:tab w:val="right" w:leader="dot" w:pos="9354"/>
              <w:tab w:val="clear" w:pos="9344"/>
            </w:tabs>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_Toc28626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vertAlign w:val="baseline"/>
            </w:rPr>
            <w:t xml:space="preserve">6.2 </w:t>
          </w:r>
          <w:r>
            <w:rPr>
              <w:rFonts w:hint="eastAsia" w:asciiTheme="minorEastAsia" w:hAnsiTheme="minorEastAsia" w:eastAsiaTheme="minorEastAsia" w:cstheme="minorEastAsia"/>
            </w:rPr>
            <w:t>基于测量的判定</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_Toc28626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3</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1A7051F7">
          <w:pPr>
            <w:pStyle w:val="29"/>
            <w:tabs>
              <w:tab w:val="right" w:leader="dot" w:pos="9354"/>
              <w:tab w:val="clear" w:pos="9344"/>
            </w:tabs>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_Toc10165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bCs w:val="0"/>
              <w:i w:val="0"/>
              <w:iCs w:val="0"/>
              <w:caps w:val="0"/>
              <w:smallCaps w:val="0"/>
              <w:strike w:val="0"/>
              <w:dstrike w:val="0"/>
              <w:vanish w:val="0"/>
              <w:spacing w:val="0"/>
              <w:kern w:val="0"/>
              <w:position w:val="0"/>
              <w:vertAlign w:val="baseline"/>
            </w:rPr>
            <w:t xml:space="preserve">6.3 </w:t>
          </w:r>
          <w:r>
            <w:rPr>
              <w:rFonts w:hint="eastAsia" w:asciiTheme="minorEastAsia" w:hAnsiTheme="minorEastAsia" w:eastAsiaTheme="minorEastAsia" w:cstheme="minorEastAsia"/>
            </w:rPr>
            <w:t>6.</w:t>
          </w:r>
          <w:r>
            <w:rPr>
              <w:rFonts w:hint="eastAsia" w:asciiTheme="minorEastAsia" w:hAnsiTheme="minorEastAsia" w:eastAsiaTheme="minorEastAsia" w:cstheme="minorEastAsia"/>
              <w:lang w:val="en-US" w:eastAsia="zh-CN"/>
            </w:rPr>
            <w:t>3</w:t>
          </w:r>
          <w:r>
            <w:rPr>
              <w:rFonts w:hint="eastAsia" w:asciiTheme="minorEastAsia" w:hAnsiTheme="minorEastAsia" w:eastAsiaTheme="minorEastAsia" w:cstheme="minorEastAsia"/>
            </w:rPr>
            <w:t xml:space="preserve">  基于原理的判定</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_Toc10165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4</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33AB4D55">
          <w:pPr>
            <w:pStyle w:val="24"/>
            <w:tabs>
              <w:tab w:val="right" w:leader="dot" w:pos="9354"/>
            </w:tabs>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_Toc1080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szCs w:val="21"/>
            </w:rPr>
            <w:t>附录A</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_Toc1080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5</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60CE441A">
          <w:pPr>
            <w:pStyle w:val="24"/>
            <w:tabs>
              <w:tab w:val="right" w:leader="dot" w:pos="9354"/>
            </w:tabs>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_Toc1305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szCs w:val="21"/>
            </w:rPr>
            <w:t>参考文献</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_Toc1305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6</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695866C1">
          <w:pPr>
            <w:spacing w:line="360" w:lineRule="auto"/>
            <w:rPr>
              <w:rFonts w:ascii="Times New Roman" w:hAnsi="Times New Roman" w:eastAsia="宋体" w:cs="Times New Roman"/>
              <w:kern w:val="2"/>
              <w:sz w:val="21"/>
              <w:szCs w:val="21"/>
              <w:lang w:val="en-US" w:eastAsia="zh-CN" w:bidi="ar-SA"/>
            </w:rPr>
          </w:pPr>
          <w:r>
            <w:rPr>
              <w:rFonts w:hint="eastAsia" w:asciiTheme="minorEastAsia" w:hAnsiTheme="minorEastAsia" w:eastAsiaTheme="minorEastAsia" w:cstheme="minorEastAsia"/>
            </w:rPr>
            <w:fldChar w:fldCharType="end"/>
          </w:r>
        </w:p>
      </w:sdtContent>
    </w:sdt>
    <w:p w14:paraId="3EB2391A">
      <w:pPr>
        <w:rPr>
          <w:rFonts w:ascii="Times New Roman" w:hAnsi="Times New Roman" w:eastAsia="宋体" w:cs="Times New Roman"/>
          <w:kern w:val="2"/>
          <w:sz w:val="21"/>
          <w:szCs w:val="21"/>
          <w:lang w:val="en-US" w:eastAsia="zh-CN" w:bidi="ar-SA"/>
        </w:rPr>
      </w:pPr>
    </w:p>
    <w:p w14:paraId="5F1A0FA3">
      <w:pPr>
        <w:pStyle w:val="96"/>
        <w:spacing w:before="900" w:after="360"/>
      </w:pPr>
    </w:p>
    <w:p w14:paraId="449DA56E">
      <w:pPr>
        <w:pStyle w:val="96"/>
        <w:spacing w:before="900" w:after="360"/>
      </w:pPr>
    </w:p>
    <w:p w14:paraId="2F9D2F26">
      <w:pPr>
        <w:pStyle w:val="96"/>
        <w:spacing w:before="900" w:after="360"/>
      </w:pPr>
    </w:p>
    <w:p w14:paraId="2F9B4211">
      <w:pPr>
        <w:pStyle w:val="96"/>
        <w:numPr>
          <w:ilvl w:val="0"/>
          <w:numId w:val="0"/>
        </w:numPr>
        <w:spacing w:before="900" w:after="360"/>
        <w:ind w:leftChars="0"/>
        <w:jc w:val="both"/>
      </w:pPr>
    </w:p>
    <w:p w14:paraId="42C7A5AB">
      <w:pPr>
        <w:pStyle w:val="96"/>
        <w:spacing w:before="900" w:after="360"/>
      </w:pPr>
      <w:bookmarkStart w:id="25" w:name="_Toc25838"/>
      <w:bookmarkStart w:id="26" w:name="_Toc18781"/>
      <w:r>
        <w:rPr>
          <w:spacing w:val="320"/>
        </w:rPr>
        <w:t>前</w:t>
      </w:r>
      <w:r>
        <w:t>言</w:t>
      </w:r>
      <w:bookmarkEnd w:id="19"/>
      <w:bookmarkEnd w:id="20"/>
      <w:bookmarkEnd w:id="21"/>
      <w:bookmarkEnd w:id="22"/>
      <w:bookmarkEnd w:id="25"/>
      <w:bookmarkEnd w:id="26"/>
    </w:p>
    <w:p w14:paraId="085B69F2">
      <w:pPr>
        <w:pStyle w:val="7"/>
        <w:ind w:firstLine="420"/>
      </w:pPr>
      <w:r>
        <w:rPr>
          <w:rFonts w:hint="eastAsia"/>
        </w:rPr>
        <w:t>本文件按照GB/T 1.1—2020《标准化工作导则  第1部分：标准化文件的结构和起草规则》的规定起草。</w:t>
      </w:r>
    </w:p>
    <w:p w14:paraId="1B7D5E55">
      <w:pPr>
        <w:pStyle w:val="7"/>
        <w:ind w:firstLine="420"/>
      </w:pPr>
      <w:r>
        <w:rPr>
          <w:rFonts w:hint="eastAsia"/>
        </w:rPr>
        <w:t>请注意本文件的某些内容可能涉及专利。本文件的发布机构不承担识别专利的责任。</w:t>
      </w:r>
    </w:p>
    <w:p w14:paraId="49FB6A11">
      <w:pPr>
        <w:pStyle w:val="7"/>
        <w:ind w:firstLine="420"/>
      </w:pPr>
      <w:r>
        <w:rPr>
          <w:rFonts w:hint="eastAsia"/>
        </w:rPr>
        <w:t>本文件由中国文化办公设备制造行业协会提出并归口。</w:t>
      </w:r>
    </w:p>
    <w:p w14:paraId="4E67E031">
      <w:pPr>
        <w:pStyle w:val="7"/>
        <w:ind w:firstLine="420"/>
        <w:rPr>
          <w:rFonts w:hint="eastAsia" w:ascii="宋体" w:eastAsia="宋体" w:cs="Times New Roman"/>
        </w:rPr>
      </w:pPr>
      <w:r>
        <w:rPr>
          <w:rFonts w:hint="eastAsia" w:ascii="宋体" w:eastAsia="宋体" w:cs="Times New Roman"/>
          <w:lang w:val="en-US" w:eastAsia="zh-CN"/>
        </w:rPr>
        <w:t>本文件起草单位</w:t>
      </w:r>
      <w:bookmarkStart w:id="27" w:name="_Hlk230704199"/>
      <w:r>
        <w:rPr>
          <w:rFonts w:hint="eastAsia" w:ascii="宋体" w:eastAsia="宋体" w:cs="Times New Roman"/>
          <w:lang w:val="en-US" w:eastAsia="zh-CN"/>
        </w:rPr>
        <w:t>：杭州照相机械研究所有限公司、尼康映像仪器销售（中国）有限公司、佳能（中国）有限公司、富士胶片（中国）投资有限公司、索尼(中国)有限公司、杭州国照检测技术有限公司、</w:t>
      </w:r>
      <w:r>
        <w:rPr>
          <w:rFonts w:hint="default" w:ascii="宋体" w:eastAsia="宋体" w:cs="Times New Roman"/>
          <w:lang w:val="en-US" w:eastAsia="zh-CN"/>
        </w:rPr>
        <w:t>杭州远方光电信息股份有限公司</w:t>
      </w:r>
      <w:r>
        <w:rPr>
          <w:rFonts w:hint="eastAsia" w:ascii="宋体" w:eastAsia="宋体" w:cs="Times New Roman"/>
          <w:lang w:val="en-US" w:eastAsia="zh-CN"/>
        </w:rPr>
        <w:t>。</w:t>
      </w:r>
    </w:p>
    <w:p w14:paraId="0A4D7D95">
      <w:pPr>
        <w:pStyle w:val="7"/>
        <w:ind w:firstLine="420"/>
        <w:rPr>
          <w:rFonts w:hint="eastAsia" w:ascii="宋体" w:eastAsia="宋体" w:cs="Times New Roman"/>
          <w:lang w:val="en-US" w:eastAsia="zh-CN"/>
        </w:rPr>
      </w:pPr>
      <w:r>
        <w:rPr>
          <w:rFonts w:hint="eastAsia" w:ascii="宋体" w:eastAsia="宋体" w:cs="Times New Roman"/>
          <w:lang w:val="en-US" w:eastAsia="zh-CN"/>
        </w:rPr>
        <w:t>本文件主要起草人：</w:t>
      </w:r>
      <w:bookmarkEnd w:id="27"/>
      <w:r>
        <w:rPr>
          <w:rFonts w:hint="eastAsia" w:ascii="宋体" w:eastAsia="宋体" w:cs="Times New Roman"/>
          <w:lang w:val="en-US" w:eastAsia="zh-CN"/>
        </w:rPr>
        <w:t>任森、王刚、张海英、高峻、冉新、肖江、唐小艺、胡耀明、杨怡靖、葛世清、程一凡、王均、李倩。</w:t>
      </w:r>
    </w:p>
    <w:bookmarkEnd w:id="23"/>
    <w:p w14:paraId="120B171B">
      <w:pPr>
        <w:pStyle w:val="7"/>
        <w:ind w:firstLine="0" w:firstLineChars="0"/>
        <w:rPr>
          <w:rFonts w:hint="eastAsia" w:ascii="宋体" w:hAnsi="Times New Roman" w:eastAsia="宋体" w:cs="Times New Roman"/>
          <w:kern w:val="0"/>
          <w:sz w:val="21"/>
          <w:szCs w:val="20"/>
          <w:lang w:val="en-US" w:eastAsia="zh-CN" w:bidi="ar-SA"/>
        </w:rPr>
      </w:pPr>
      <w:bookmarkStart w:id="28" w:name="BookMark3"/>
    </w:p>
    <w:p w14:paraId="7619076D">
      <w:pPr>
        <w:pStyle w:val="7"/>
        <w:ind w:firstLine="420"/>
        <w:rPr>
          <w:rFonts w:hint="eastAsia" w:ascii="宋体" w:hAnsi="Times New Roman" w:eastAsia="宋体" w:cs="Times New Roman"/>
          <w:kern w:val="0"/>
          <w:sz w:val="21"/>
          <w:szCs w:val="20"/>
          <w:lang w:val="en-US" w:eastAsia="zh-CN" w:bidi="ar-SA"/>
        </w:rPr>
        <w:sectPr>
          <w:footerReference r:id="rId12" w:type="default"/>
          <w:headerReference r:id="rId11" w:type="even"/>
          <w:footerReference r:id="rId13" w:type="even"/>
          <w:pgSz w:w="11906" w:h="16838"/>
          <w:pgMar w:top="1928" w:right="1134" w:bottom="1134" w:left="1134" w:header="1418" w:footer="1134" w:gutter="284"/>
          <w:pgBorders>
            <w:top w:val="none" w:sz="0" w:space="0"/>
            <w:left w:val="none" w:sz="0" w:space="0"/>
            <w:bottom w:val="none" w:sz="0" w:space="0"/>
            <w:right w:val="none" w:sz="0" w:space="0"/>
          </w:pgBorders>
          <w:pgNumType w:fmt="upperRoman" w:start="1"/>
          <w:cols w:space="720" w:num="1"/>
          <w:formProt w:val="0"/>
          <w:docGrid w:linePitch="312" w:charSpace="0"/>
        </w:sectPr>
      </w:pPr>
      <w:r>
        <w:rPr>
          <w:rFonts w:hint="eastAsia" w:ascii="黑体" w:hAnsi="黑体" w:eastAsia="黑体"/>
        </w:rPr>
        <w:t>声明：本文件的知识产权归属于中国文化办公设备制造行业协会，未经中国文化办公设备制造行业协会同意，不得印刷、销售。任何组织、个人使用本文件开展认证、检测等活动应经中国文化办公设备制造行业协会批准授权。</w:t>
      </w:r>
    </w:p>
    <w:bookmarkEnd w:id="24"/>
    <w:bookmarkEnd w:id="28"/>
    <w:p w14:paraId="6AA1B2B8">
      <w:pPr>
        <w:spacing w:line="20" w:lineRule="exact"/>
        <w:jc w:val="both"/>
        <w:rPr>
          <w:rFonts w:hint="eastAsia" w:ascii="黑体" w:hAnsi="黑体" w:eastAsia="黑体"/>
          <w:sz w:val="32"/>
          <w:szCs w:val="32"/>
        </w:rPr>
      </w:pPr>
      <w:bookmarkStart w:id="29" w:name="BookMark4"/>
    </w:p>
    <w:p w14:paraId="480040B2">
      <w:pPr>
        <w:spacing w:line="20" w:lineRule="exact"/>
        <w:jc w:val="center"/>
        <w:rPr>
          <w:rFonts w:hint="eastAsia" w:ascii="黑体" w:hAnsi="黑体" w:eastAsia="黑体"/>
          <w:sz w:val="32"/>
          <w:szCs w:val="32"/>
        </w:rPr>
      </w:pPr>
    </w:p>
    <w:p w14:paraId="73E1F5C1">
      <w:pPr>
        <w:spacing w:line="20" w:lineRule="exact"/>
        <w:jc w:val="center"/>
        <w:rPr>
          <w:rFonts w:hint="eastAsia" w:ascii="黑体" w:hAnsi="黑体" w:eastAsia="黑体"/>
          <w:sz w:val="32"/>
          <w:szCs w:val="32"/>
        </w:rPr>
      </w:pPr>
    </w:p>
    <w:p w14:paraId="44C2B311">
      <w:pPr>
        <w:spacing w:line="20" w:lineRule="exact"/>
        <w:jc w:val="center"/>
        <w:rPr>
          <w:rFonts w:hint="eastAsia" w:ascii="黑体" w:hAnsi="黑体" w:eastAsia="黑体"/>
          <w:sz w:val="32"/>
          <w:szCs w:val="32"/>
        </w:rPr>
      </w:pPr>
    </w:p>
    <w:p w14:paraId="36C7E1DB">
      <w:pPr>
        <w:pStyle w:val="180"/>
        <w:spacing w:before="2" w:beforeLines="1" w:after="2" w:afterLines="1"/>
        <w:rPr>
          <w:rFonts w:hint="eastAsia"/>
        </w:rPr>
      </w:pPr>
      <w:bookmarkStart w:id="30" w:name="NEW_STAND_NAME"/>
      <w:r>
        <w:rPr>
          <w:rFonts w:hint="eastAsia"/>
        </w:rPr>
        <w:t>照相用电子闪光灯光辐射</w:t>
      </w:r>
    </w:p>
    <w:p w14:paraId="5C5878E2">
      <w:pPr>
        <w:pStyle w:val="180"/>
        <w:spacing w:before="2" w:beforeLines="1" w:after="680"/>
        <w:rPr>
          <w:rFonts w:hint="eastAsia"/>
        </w:rPr>
      </w:pPr>
      <w:r>
        <w:rPr>
          <w:rFonts w:hint="eastAsia"/>
        </w:rPr>
        <w:t>安全风险管控和评估指南</w:t>
      </w:r>
      <w:bookmarkEnd w:id="30"/>
    </w:p>
    <w:p w14:paraId="37FEAE54">
      <w:pPr>
        <w:pStyle w:val="6"/>
        <w:spacing w:before="240" w:after="240"/>
      </w:pPr>
      <w:bookmarkStart w:id="31" w:name="_Toc29079"/>
      <w:bookmarkStart w:id="32" w:name="_Toc26718930"/>
      <w:bookmarkStart w:id="33" w:name="_Toc24884218"/>
      <w:bookmarkStart w:id="34" w:name="_Toc238641365"/>
      <w:bookmarkStart w:id="35" w:name="_Toc24884211"/>
      <w:bookmarkStart w:id="36" w:name="_Toc97192964"/>
      <w:bookmarkStart w:id="37" w:name="_Toc26986530"/>
      <w:bookmarkStart w:id="38" w:name="_Toc26648465"/>
      <w:bookmarkStart w:id="39" w:name="_Toc26986771"/>
      <w:bookmarkStart w:id="40" w:name="_Toc17233325"/>
      <w:bookmarkStart w:id="41" w:name="_Toc17233333"/>
      <w:bookmarkStart w:id="42" w:name="_Toc27227"/>
      <w:r>
        <w:rPr>
          <w:rFonts w:hint="eastAsia"/>
        </w:rPr>
        <w:t>范围</w:t>
      </w:r>
      <w:bookmarkEnd w:id="31"/>
      <w:bookmarkEnd w:id="32"/>
      <w:bookmarkEnd w:id="33"/>
      <w:bookmarkEnd w:id="34"/>
      <w:bookmarkEnd w:id="35"/>
      <w:bookmarkEnd w:id="36"/>
      <w:bookmarkEnd w:id="37"/>
      <w:bookmarkEnd w:id="38"/>
      <w:bookmarkEnd w:id="39"/>
      <w:bookmarkEnd w:id="40"/>
      <w:bookmarkEnd w:id="41"/>
      <w:bookmarkEnd w:id="42"/>
    </w:p>
    <w:p w14:paraId="7AF87532">
      <w:pPr>
        <w:pStyle w:val="7"/>
        <w:ind w:firstLine="420"/>
      </w:pPr>
      <w:bookmarkStart w:id="43" w:name="_Toc17233326"/>
      <w:bookmarkStart w:id="44" w:name="_Toc17233334"/>
      <w:bookmarkStart w:id="45" w:name="_Toc24884212"/>
      <w:bookmarkStart w:id="46" w:name="_Toc24884219"/>
      <w:bookmarkStart w:id="47" w:name="_Toc26648466"/>
      <w:r>
        <w:rPr>
          <w:rFonts w:hint="eastAsia"/>
        </w:rPr>
        <w:t>本文件规定了内置式或外置式照相用电子闪光灯产品及其工作过程的光辐射安全风险通用分级和专业分类、管理控制和标识要求、评估准则和评估方法。</w:t>
      </w:r>
    </w:p>
    <w:p w14:paraId="1DD5B863">
      <w:pPr>
        <w:pStyle w:val="7"/>
        <w:ind w:firstLine="420"/>
      </w:pPr>
      <w:r>
        <w:rPr>
          <w:rFonts w:hint="eastAsia"/>
        </w:rPr>
        <w:t>本文件适用于普通消费者家庭或在公共</w:t>
      </w:r>
      <w:r>
        <w:rPr>
          <w:rFonts w:hint="eastAsia"/>
          <w:lang w:eastAsia="zh-CN"/>
        </w:rPr>
        <w:t>场所</w:t>
      </w:r>
      <w:r>
        <w:rPr>
          <w:rFonts w:hint="eastAsia"/>
        </w:rPr>
        <w:t>使用的，在 200nm~3</w:t>
      </w:r>
      <w:r>
        <w:rPr>
          <w:rFonts w:hint="eastAsia" w:ascii="宋体" w:hAnsi="宋体" w:eastAsia="宋体" w:cs="宋体"/>
        </w:rPr>
        <w:t>μm</w:t>
      </w:r>
      <w:r>
        <w:rPr>
          <w:rFonts w:hint="eastAsia"/>
        </w:rPr>
        <w:t>波段范围内，以脉冲方式工作的照相用电子闪光灯产品及其工作过程的非相干光的光辐射安全。</w:t>
      </w:r>
    </w:p>
    <w:p w14:paraId="0D10E389">
      <w:pPr>
        <w:pStyle w:val="7"/>
        <w:ind w:firstLine="420"/>
      </w:pPr>
      <w:r>
        <w:rPr>
          <w:rFonts w:hint="eastAsia"/>
        </w:rPr>
        <w:t>本文件</w:t>
      </w:r>
      <w:r>
        <w:t>不适用于影室</w:t>
      </w:r>
      <w:r>
        <w:rPr>
          <w:rFonts w:hint="eastAsia"/>
        </w:rPr>
        <w:t>拍摄用高功率（持续）光源</w:t>
      </w:r>
      <w:r>
        <w:t>闪光灯</w:t>
      </w:r>
      <w:r>
        <w:rPr>
          <w:rFonts w:hint="eastAsia"/>
        </w:rPr>
        <w:t>、大功率影室闪光装置、</w:t>
      </w:r>
      <w:r>
        <w:t>连续光辐射光源</w:t>
      </w:r>
      <w:r>
        <w:rPr>
          <w:rFonts w:hint="eastAsia"/>
        </w:rPr>
        <w:t>以</w:t>
      </w:r>
      <w:r>
        <w:t>及</w:t>
      </w:r>
      <w:r>
        <w:rPr>
          <w:rFonts w:hint="eastAsia"/>
        </w:rPr>
        <w:t>工业、医疗、科研等专业领域的特殊闪光光源。</w:t>
      </w:r>
    </w:p>
    <w:p w14:paraId="3803CA16">
      <w:pPr>
        <w:pStyle w:val="6"/>
        <w:spacing w:before="240" w:after="240"/>
      </w:pPr>
      <w:bookmarkStart w:id="48" w:name="_Toc26718931"/>
      <w:bookmarkStart w:id="49" w:name="_Toc97192965"/>
      <w:bookmarkStart w:id="50" w:name="_Toc26986531"/>
      <w:bookmarkStart w:id="51" w:name="_Toc5439"/>
      <w:bookmarkStart w:id="52" w:name="_Toc26986772"/>
      <w:bookmarkStart w:id="53" w:name="_Toc238641366"/>
      <w:bookmarkStart w:id="54" w:name="_Toc16896"/>
      <w:r>
        <w:rPr>
          <w:rFonts w:hint="eastAsia"/>
        </w:rPr>
        <w:t>规范性引用文件</w:t>
      </w:r>
      <w:bookmarkEnd w:id="43"/>
      <w:bookmarkEnd w:id="44"/>
      <w:bookmarkEnd w:id="45"/>
      <w:bookmarkEnd w:id="46"/>
      <w:bookmarkEnd w:id="47"/>
      <w:bookmarkEnd w:id="48"/>
      <w:bookmarkEnd w:id="49"/>
      <w:bookmarkEnd w:id="50"/>
      <w:bookmarkEnd w:id="51"/>
      <w:bookmarkEnd w:id="52"/>
      <w:bookmarkEnd w:id="53"/>
      <w:bookmarkEnd w:id="54"/>
    </w:p>
    <w:p w14:paraId="6310D7BA">
      <w:pPr>
        <w:pStyle w:val="7"/>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26524F55">
      <w:pPr>
        <w:pStyle w:val="7"/>
        <w:ind w:firstLine="420"/>
      </w:pPr>
      <w:r>
        <w:t>GB 44703-2024 光辐射安全通用要求</w:t>
      </w:r>
    </w:p>
    <w:p w14:paraId="72A016D7">
      <w:pPr>
        <w:pStyle w:val="7"/>
        <w:ind w:firstLine="420"/>
      </w:pPr>
      <w:r>
        <w:t>GB/T 30117.1-2024 非相干光产品的光生物安全 第1部分：通用要求</w:t>
      </w:r>
    </w:p>
    <w:p w14:paraId="2F439A46">
      <w:pPr>
        <w:pStyle w:val="6"/>
        <w:spacing w:before="240" w:after="240"/>
      </w:pPr>
      <w:bookmarkStart w:id="55" w:name="_Toc238641367"/>
      <w:bookmarkStart w:id="56" w:name="_Toc1806"/>
      <w:bookmarkStart w:id="57" w:name="_Toc97192966"/>
      <w:bookmarkStart w:id="58" w:name="_Toc8167"/>
      <w:r>
        <w:rPr>
          <w:rFonts w:hint="eastAsia"/>
          <w:szCs w:val="21"/>
        </w:rPr>
        <w:t>术语和定义</w:t>
      </w:r>
      <w:bookmarkEnd w:id="55"/>
      <w:bookmarkEnd w:id="56"/>
      <w:bookmarkEnd w:id="57"/>
      <w:bookmarkEnd w:id="58"/>
    </w:p>
    <w:p w14:paraId="56B69E93">
      <w:pPr>
        <w:pStyle w:val="7"/>
        <w:ind w:firstLine="420"/>
      </w:pPr>
      <w:bookmarkStart w:id="59" w:name="_Toc26986532"/>
      <w:bookmarkEnd w:id="59"/>
      <w:r>
        <w:rPr>
          <w:rStyle w:val="33"/>
          <w:rFonts w:hint="eastAsia" w:ascii="宋体" w:hAnsi="Times New Roman" w:eastAsia="宋体" w:cs="Times New Roman"/>
          <w:i w:val="0"/>
          <w:iCs w:val="0"/>
          <w:caps w:val="0"/>
          <w:color w:val="333333"/>
          <w:spacing w:val="0"/>
          <w:sz w:val="21"/>
          <w:szCs w:val="20"/>
          <w:shd w:val="clear" w:fill="FFFFFF"/>
        </w:rPr>
        <w:t>本文件没有需要界定的术语和定义</w:t>
      </w:r>
      <w:r>
        <w:t>。</w:t>
      </w:r>
    </w:p>
    <w:p w14:paraId="15FFC77B">
      <w:pPr>
        <w:pStyle w:val="7"/>
        <w:ind w:firstLine="420"/>
      </w:pPr>
    </w:p>
    <w:p w14:paraId="39DA5120">
      <w:pPr>
        <w:pStyle w:val="6"/>
        <w:spacing w:before="240" w:after="240"/>
        <w:rPr>
          <w:color w:val="auto"/>
          <w:szCs w:val="21"/>
        </w:rPr>
      </w:pPr>
      <w:bookmarkStart w:id="60" w:name="_Toc6301"/>
      <w:bookmarkEnd w:id="60"/>
      <w:bookmarkStart w:id="61" w:name="_Toc6732"/>
      <w:bookmarkEnd w:id="61"/>
      <w:bookmarkStart w:id="62" w:name="_Toc8770"/>
      <w:bookmarkEnd w:id="62"/>
      <w:bookmarkStart w:id="63" w:name="BookMark6"/>
      <w:bookmarkEnd w:id="63"/>
      <w:bookmarkStart w:id="64" w:name="_Toc11833"/>
      <w:bookmarkEnd w:id="64"/>
      <w:bookmarkStart w:id="65" w:name="_Toc28972"/>
      <w:bookmarkStart w:id="66" w:name="_Toc238641368"/>
      <w:bookmarkStart w:id="67" w:name="_Toc22938"/>
      <w:r>
        <w:rPr>
          <w:rFonts w:hint="eastAsia"/>
          <w:color w:val="auto"/>
          <w:szCs w:val="21"/>
          <w:lang w:val="en-US" w:eastAsia="zh-CN"/>
        </w:rPr>
        <w:t>光辐射安全风险通用</w:t>
      </w:r>
      <w:r>
        <w:rPr>
          <w:color w:val="auto"/>
          <w:szCs w:val="21"/>
        </w:rPr>
        <w:t>分级和</w:t>
      </w:r>
      <w:r>
        <w:rPr>
          <w:rFonts w:hint="eastAsia"/>
          <w:color w:val="auto"/>
          <w:szCs w:val="21"/>
          <w:lang w:val="en-US" w:eastAsia="zh-CN"/>
        </w:rPr>
        <w:t>专业</w:t>
      </w:r>
      <w:r>
        <w:rPr>
          <w:color w:val="auto"/>
          <w:szCs w:val="21"/>
        </w:rPr>
        <w:t>分类</w:t>
      </w:r>
      <w:bookmarkEnd w:id="65"/>
      <w:bookmarkEnd w:id="66"/>
      <w:bookmarkEnd w:id="67"/>
      <w:r>
        <w:rPr>
          <w:color w:val="auto"/>
          <w:szCs w:val="21"/>
        </w:rPr>
        <w:t xml:space="preserve">  </w:t>
      </w:r>
    </w:p>
    <w:p w14:paraId="50252554">
      <w:pPr>
        <w:pStyle w:val="3"/>
        <w:rPr>
          <w:rFonts w:hint="eastAsia"/>
        </w:rPr>
      </w:pPr>
      <w:bookmarkStart w:id="68" w:name="_Toc32127"/>
      <w:bookmarkEnd w:id="68"/>
      <w:bookmarkStart w:id="69" w:name="_Toc11419"/>
      <w:bookmarkStart w:id="70" w:name="_Toc27767"/>
      <w:r>
        <w:t>照相用电子闪光灯光辐射安全风险</w:t>
      </w:r>
      <w:bookmarkEnd w:id="69"/>
      <w:r>
        <w:rPr>
          <w:rFonts w:hint="eastAsia"/>
          <w:lang w:val="en-US" w:eastAsia="zh-CN"/>
        </w:rPr>
        <w:t>通用分级</w:t>
      </w:r>
      <w:bookmarkEnd w:id="70"/>
    </w:p>
    <w:p w14:paraId="22FBBF65">
      <w:pPr>
        <w:ind w:firstLine="420" w:firstLineChars="200"/>
        <w:jc w:val="left"/>
        <w:rPr>
          <w:rFonts w:hint="eastAsia" w:eastAsia="宋体"/>
          <w:color w:val="auto"/>
          <w:u w:val="single"/>
          <w:lang w:val="en-US" w:eastAsia="zh-CN"/>
        </w:rPr>
      </w:pPr>
      <w:r>
        <w:rPr>
          <w:rFonts w:hint="eastAsia" w:ascii="宋体" w:hAnsi="Times New Roman" w:eastAsia="宋体" w:cs="Times New Roman"/>
          <w:color w:val="auto"/>
          <w:kern w:val="0"/>
          <w:szCs w:val="20"/>
          <w:lang w:val="en-US" w:eastAsia="zh-CN"/>
        </w:rPr>
        <w:t>根</w:t>
      </w:r>
      <w:r>
        <w:rPr>
          <w:rFonts w:hint="default" w:ascii="宋体" w:hAnsi="Times New Roman" w:eastAsia="宋体" w:cs="Times New Roman"/>
          <w:color w:val="auto"/>
          <w:kern w:val="0"/>
          <w:szCs w:val="20"/>
          <w:lang w:val="en-US" w:eastAsia="zh-CN"/>
        </w:rPr>
        <w:t>据</w:t>
      </w:r>
      <w:r>
        <w:rPr>
          <w:rFonts w:ascii="宋体" w:hAnsi="Times New Roman" w:eastAsia="宋体" w:cs="Times New Roman"/>
          <w:color w:val="auto"/>
          <w:kern w:val="0"/>
          <w:sz w:val="21"/>
          <w:szCs w:val="20"/>
        </w:rPr>
        <w:t>GB 44703-2024</w:t>
      </w:r>
      <w:r>
        <w:rPr>
          <w:rFonts w:hint="default" w:ascii="宋体" w:hAnsi="Times New Roman" w:eastAsia="宋体" w:cs="Times New Roman"/>
          <w:color w:val="auto"/>
          <w:kern w:val="0"/>
          <w:sz w:val="21"/>
          <w:szCs w:val="20"/>
          <w:lang w:val="en-US" w:eastAsia="zh-CN"/>
        </w:rPr>
        <w:t>中</w:t>
      </w:r>
      <w:r>
        <w:rPr>
          <w:rFonts w:ascii="宋体" w:hAnsi="Times New Roman" w:eastAsia="宋体" w:cs="Times New Roman"/>
          <w:color w:val="auto"/>
          <w:kern w:val="0"/>
          <w:sz w:val="21"/>
          <w:szCs w:val="20"/>
          <w:lang w:val="en-US" w:eastAsia="zh-CN" w:bidi="ar-SA"/>
        </w:rPr>
        <w:t>4.</w:t>
      </w:r>
      <w:r>
        <w:rPr>
          <w:rFonts w:hint="default" w:ascii="宋体" w:hAnsi="Times New Roman" w:eastAsia="宋体" w:cs="Times New Roman"/>
          <w:color w:val="auto"/>
          <w:kern w:val="0"/>
          <w:sz w:val="21"/>
          <w:szCs w:val="20"/>
          <w:lang w:val="en-US" w:eastAsia="zh-CN" w:bidi="ar-SA"/>
        </w:rPr>
        <w:t>1</w:t>
      </w:r>
      <w:r>
        <w:rPr>
          <w:rFonts w:hint="eastAsia" w:ascii="宋体" w:hAnsi="Times New Roman" w:eastAsia="宋体" w:cs="Times New Roman"/>
          <w:color w:val="auto"/>
          <w:kern w:val="0"/>
          <w:sz w:val="21"/>
          <w:szCs w:val="20"/>
          <w:lang w:val="en-US" w:eastAsia="zh-CN" w:bidi="ar-SA"/>
        </w:rPr>
        <w:t>规定</w:t>
      </w:r>
      <w:r>
        <w:rPr>
          <w:rFonts w:hint="eastAsia" w:ascii="宋体" w:eastAsia="宋体" w:cs="Times New Roman"/>
          <w:color w:val="auto"/>
          <w:sz w:val="21"/>
          <w:szCs w:val="20"/>
          <w:lang w:eastAsia="zh-CN"/>
        </w:rPr>
        <w:t>，</w:t>
      </w:r>
      <w:r>
        <w:rPr>
          <w:rFonts w:hint="eastAsia"/>
          <w:color w:val="auto"/>
          <w:lang w:val="en-US" w:eastAsia="zh-CN"/>
        </w:rPr>
        <w:t>结合</w:t>
      </w:r>
      <w:r>
        <w:rPr>
          <w:color w:val="auto"/>
        </w:rPr>
        <w:t>照相用电子闪光灯产品</w:t>
      </w:r>
      <w:r>
        <w:rPr>
          <w:rFonts w:hint="eastAsia"/>
          <w:color w:val="auto"/>
          <w:lang w:val="en-US" w:eastAsia="zh-CN"/>
        </w:rPr>
        <w:t>的</w:t>
      </w:r>
      <w:r>
        <w:rPr>
          <w:color w:val="auto"/>
        </w:rPr>
        <w:t>用途和使用场</w:t>
      </w:r>
      <w:r>
        <w:rPr>
          <w:rFonts w:ascii="宋体" w:hAnsi="Times New Roman" w:eastAsia="宋体" w:cs="Times New Roman"/>
          <w:color w:val="auto"/>
          <w:kern w:val="0"/>
          <w:szCs w:val="20"/>
        </w:rPr>
        <w:t>景，</w:t>
      </w:r>
      <w:r>
        <w:rPr>
          <w:color w:val="auto"/>
        </w:rPr>
        <w:t>照相用电子闪光灯产品光辐射安全风险</w:t>
      </w:r>
      <w:r>
        <w:rPr>
          <w:rFonts w:hint="eastAsia"/>
          <w:color w:val="auto"/>
          <w:lang w:val="en-US" w:eastAsia="zh-CN"/>
        </w:rPr>
        <w:t>通用</w:t>
      </w:r>
      <w:r>
        <w:rPr>
          <w:color w:val="auto"/>
        </w:rPr>
        <w:t>分</w:t>
      </w:r>
      <w:r>
        <w:rPr>
          <w:rFonts w:hint="eastAsia"/>
          <w:color w:val="auto"/>
          <w:lang w:val="en-US" w:eastAsia="zh-CN"/>
        </w:rPr>
        <w:t>级</w:t>
      </w:r>
      <w:r>
        <w:rPr>
          <w:color w:val="auto"/>
        </w:rPr>
        <w:t>为：</w:t>
      </w:r>
      <w:r>
        <w:rPr>
          <w:color w:val="auto"/>
          <w:u w:val="single"/>
        </w:rPr>
        <w:t>免除</w:t>
      </w:r>
      <w:r>
        <w:rPr>
          <w:rFonts w:hint="eastAsia"/>
          <w:color w:val="auto"/>
          <w:u w:val="single"/>
          <w:lang w:val="en-US" w:eastAsia="zh-CN"/>
        </w:rPr>
        <w:t>级</w:t>
      </w:r>
      <w:r>
        <w:rPr>
          <w:color w:val="auto"/>
          <w:u w:val="single"/>
        </w:rPr>
        <w:t>、</w:t>
      </w:r>
      <w:r>
        <w:rPr>
          <w:color w:val="auto"/>
        </w:rPr>
        <w:t>低风险级</w:t>
      </w:r>
      <w:r>
        <w:rPr>
          <w:color w:val="auto"/>
          <w:u w:val="single"/>
        </w:rPr>
        <w:t>、</w:t>
      </w:r>
      <w:r>
        <w:rPr>
          <w:color w:val="auto"/>
        </w:rPr>
        <w:t>中风险级</w:t>
      </w:r>
      <w:r>
        <w:rPr>
          <w:color w:val="auto"/>
          <w:u w:val="single"/>
        </w:rPr>
        <w:t>和</w:t>
      </w:r>
      <w:r>
        <w:rPr>
          <w:color w:val="auto"/>
        </w:rPr>
        <w:t>高风险级</w:t>
      </w:r>
      <w:r>
        <w:rPr>
          <w:rFonts w:hint="eastAsia"/>
          <w:color w:val="auto"/>
          <w:u w:val="single"/>
          <w:lang w:eastAsia="zh-CN"/>
        </w:rPr>
        <w:t>。</w:t>
      </w:r>
    </w:p>
    <w:p w14:paraId="237DC822">
      <w:pPr>
        <w:pStyle w:val="3"/>
        <w:rPr>
          <w:rFonts w:hint="default" w:ascii="黑体" w:hAnsi="黑体" w:eastAsia="黑体"/>
          <w:color w:val="auto"/>
        </w:rPr>
      </w:pPr>
      <w:bookmarkStart w:id="71" w:name="_Toc1392"/>
      <w:r>
        <w:rPr>
          <w:rFonts w:ascii="黑体" w:hAnsi="黑体" w:eastAsia="黑体"/>
          <w:color w:val="auto"/>
        </w:rPr>
        <w:t>照相用电子闪光灯光辐射安全风险</w:t>
      </w:r>
      <w:r>
        <w:rPr>
          <w:rFonts w:hint="default" w:ascii="黑体" w:hAnsi="黑体" w:eastAsia="黑体"/>
          <w:color w:val="auto"/>
          <w:lang w:val="en-US" w:eastAsia="zh-CN"/>
        </w:rPr>
        <w:t>专业</w:t>
      </w:r>
      <w:r>
        <w:rPr>
          <w:rFonts w:ascii="黑体" w:hAnsi="黑体" w:eastAsia="黑体"/>
          <w:color w:val="auto"/>
        </w:rPr>
        <w:t>分类</w:t>
      </w:r>
      <w:bookmarkEnd w:id="71"/>
    </w:p>
    <w:p w14:paraId="465DC131">
      <w:pPr>
        <w:pStyle w:val="7"/>
        <w:ind w:firstLine="420"/>
        <w:rPr>
          <w:rFonts w:hint="eastAsia"/>
          <w:color w:val="auto"/>
          <w:u w:val="single"/>
          <w:lang w:eastAsia="zh-CN"/>
        </w:rPr>
      </w:pPr>
      <w:r>
        <w:rPr>
          <w:rFonts w:hint="eastAsia" w:ascii="宋体" w:eastAsia="宋体" w:cs="Times New Roman"/>
          <w:color w:val="auto"/>
          <w:kern w:val="0"/>
          <w:szCs w:val="20"/>
          <w:lang w:val="en-US" w:eastAsia="zh-CN"/>
        </w:rPr>
        <w:t>根</w:t>
      </w:r>
      <w:r>
        <w:rPr>
          <w:rFonts w:hint="default" w:ascii="宋体" w:hAnsi="Times New Roman" w:eastAsia="宋体" w:cs="Times New Roman"/>
          <w:color w:val="auto"/>
          <w:kern w:val="0"/>
          <w:szCs w:val="20"/>
          <w:lang w:val="en-US" w:eastAsia="zh-CN"/>
        </w:rPr>
        <w:t>据</w:t>
      </w:r>
      <w:r>
        <w:rPr>
          <w:color w:val="auto"/>
        </w:rPr>
        <w:t>GB/T 30117.1</w:t>
      </w:r>
      <w:r>
        <w:rPr>
          <w:rFonts w:ascii="宋体" w:hAnsi="Times New Roman" w:eastAsia="宋体" w:cs="Times New Roman"/>
          <w:color w:val="auto"/>
          <w:kern w:val="0"/>
          <w:sz w:val="21"/>
          <w:szCs w:val="20"/>
        </w:rPr>
        <w:t>-2024</w:t>
      </w:r>
      <w:r>
        <w:rPr>
          <w:rFonts w:hint="default" w:ascii="宋体" w:hAnsi="Times New Roman" w:eastAsia="宋体" w:cs="Times New Roman"/>
          <w:color w:val="auto"/>
          <w:kern w:val="0"/>
          <w:sz w:val="21"/>
          <w:szCs w:val="20"/>
          <w:lang w:val="en-US" w:eastAsia="zh-CN"/>
        </w:rPr>
        <w:t>中</w:t>
      </w:r>
      <w:r>
        <w:rPr>
          <w:rFonts w:hint="eastAsia" w:ascii="宋体" w:eastAsia="宋体" w:cs="Times New Roman"/>
          <w:color w:val="auto"/>
          <w:kern w:val="0"/>
          <w:sz w:val="21"/>
          <w:szCs w:val="20"/>
          <w:lang w:val="en-US" w:eastAsia="zh-CN" w:bidi="ar-SA"/>
        </w:rPr>
        <w:t>5</w:t>
      </w:r>
      <w:r>
        <w:rPr>
          <w:rFonts w:ascii="宋体" w:hAnsi="Times New Roman" w:eastAsia="宋体" w:cs="Times New Roman"/>
          <w:color w:val="auto"/>
          <w:kern w:val="0"/>
          <w:sz w:val="21"/>
          <w:szCs w:val="20"/>
          <w:lang w:val="en-US" w:eastAsia="zh-CN" w:bidi="ar-SA"/>
        </w:rPr>
        <w:t>.</w:t>
      </w:r>
      <w:r>
        <w:rPr>
          <w:rFonts w:hint="eastAsia" w:ascii="宋体" w:eastAsia="宋体" w:cs="Times New Roman"/>
          <w:color w:val="auto"/>
          <w:kern w:val="0"/>
          <w:sz w:val="21"/>
          <w:szCs w:val="20"/>
          <w:lang w:val="en-US" w:eastAsia="zh-CN" w:bidi="ar-SA"/>
        </w:rPr>
        <w:t>2</w:t>
      </w:r>
      <w:r>
        <w:rPr>
          <w:rFonts w:hint="eastAsia" w:ascii="宋体" w:hAnsi="Times New Roman" w:eastAsia="宋体" w:cs="Times New Roman"/>
          <w:color w:val="auto"/>
          <w:kern w:val="0"/>
          <w:sz w:val="21"/>
          <w:szCs w:val="20"/>
          <w:lang w:val="en-US" w:eastAsia="zh-CN" w:bidi="ar-SA"/>
        </w:rPr>
        <w:t>规定</w:t>
      </w:r>
      <w:r>
        <w:rPr>
          <w:rFonts w:hint="eastAsia" w:ascii="宋体" w:eastAsia="宋体" w:cs="Times New Roman"/>
          <w:color w:val="auto"/>
          <w:sz w:val="21"/>
          <w:szCs w:val="20"/>
          <w:lang w:eastAsia="zh-CN"/>
        </w:rPr>
        <w:t>，</w:t>
      </w:r>
      <w:r>
        <w:rPr>
          <w:rFonts w:hint="eastAsia" w:eastAsia="宋体"/>
          <w:color w:val="auto"/>
          <w:lang w:val="en-US" w:eastAsia="zh-CN"/>
        </w:rPr>
        <w:t>结合</w:t>
      </w:r>
      <w:r>
        <w:rPr>
          <w:color w:val="auto"/>
        </w:rPr>
        <w:t>照相用电子闪光灯产品</w:t>
      </w:r>
      <w:r>
        <w:rPr>
          <w:rFonts w:hint="eastAsia"/>
          <w:color w:val="auto"/>
          <w:lang w:val="en-US" w:eastAsia="zh-CN"/>
        </w:rPr>
        <w:t>的</w:t>
      </w:r>
      <w:r>
        <w:rPr>
          <w:color w:val="auto"/>
        </w:rPr>
        <w:t>用途和使用场景，照相用电子闪光灯产品光辐射安全风险</w:t>
      </w:r>
      <w:r>
        <w:rPr>
          <w:rFonts w:hint="eastAsia"/>
          <w:color w:val="auto"/>
          <w:lang w:val="en-US" w:eastAsia="zh-CN"/>
        </w:rPr>
        <w:t>专业</w:t>
      </w:r>
      <w:r>
        <w:rPr>
          <w:color w:val="auto"/>
        </w:rPr>
        <w:t>分类为：</w:t>
      </w:r>
      <w:r>
        <w:rPr>
          <w:color w:val="auto"/>
          <w:u w:val="single"/>
        </w:rPr>
        <w:t xml:space="preserve">免除类 </w:t>
      </w:r>
      <w:r>
        <w:rPr>
          <w:rFonts w:hint="eastAsia"/>
          <w:color w:val="auto"/>
          <w:u w:val="single"/>
          <w:lang w:eastAsia="zh-CN"/>
        </w:rPr>
        <w:t>（</w:t>
      </w:r>
      <w:r>
        <w:rPr>
          <w:color w:val="auto"/>
          <w:u w:val="single"/>
        </w:rPr>
        <w:t xml:space="preserve"> RG 0 </w:t>
      </w:r>
      <w:r>
        <w:rPr>
          <w:rFonts w:hint="eastAsia"/>
          <w:color w:val="auto"/>
          <w:u w:val="single"/>
          <w:lang w:eastAsia="zh-CN"/>
        </w:rPr>
        <w:t>）</w:t>
      </w:r>
      <w:r>
        <w:rPr>
          <w:color w:val="auto"/>
          <w:u w:val="single"/>
        </w:rPr>
        <w:t>、</w:t>
      </w:r>
      <w:r>
        <w:rPr>
          <w:color w:val="auto"/>
        </w:rPr>
        <w:t>风险</w:t>
      </w:r>
      <w:r>
        <w:rPr>
          <w:rFonts w:hint="eastAsia"/>
          <w:color w:val="auto"/>
          <w:lang w:val="en-US" w:eastAsia="zh-CN"/>
        </w:rPr>
        <w:t>1类</w:t>
      </w:r>
      <w:r>
        <w:rPr>
          <w:color w:val="auto"/>
          <w:u w:val="single"/>
        </w:rPr>
        <w:t xml:space="preserve"> </w:t>
      </w:r>
      <w:r>
        <w:rPr>
          <w:rFonts w:hint="eastAsia"/>
          <w:color w:val="auto"/>
          <w:u w:val="single"/>
          <w:lang w:eastAsia="zh-CN"/>
        </w:rPr>
        <w:t>（</w:t>
      </w:r>
      <w:r>
        <w:rPr>
          <w:color w:val="auto"/>
          <w:u w:val="single"/>
        </w:rPr>
        <w:t xml:space="preserve"> RG 1 </w:t>
      </w:r>
      <w:r>
        <w:rPr>
          <w:rFonts w:hint="eastAsia"/>
          <w:color w:val="auto"/>
          <w:u w:val="single"/>
          <w:lang w:eastAsia="zh-CN"/>
        </w:rPr>
        <w:t>）</w:t>
      </w:r>
      <w:r>
        <w:rPr>
          <w:color w:val="auto"/>
          <w:u w:val="single"/>
        </w:rPr>
        <w:t>、</w:t>
      </w:r>
      <w:r>
        <w:rPr>
          <w:color w:val="auto"/>
        </w:rPr>
        <w:t>风险</w:t>
      </w:r>
      <w:r>
        <w:rPr>
          <w:rFonts w:hint="eastAsia"/>
          <w:color w:val="auto"/>
          <w:lang w:val="en-US" w:eastAsia="zh-CN"/>
        </w:rPr>
        <w:t>2类</w:t>
      </w:r>
      <w:r>
        <w:rPr>
          <w:rFonts w:hint="eastAsia"/>
          <w:color w:val="auto"/>
          <w:lang w:eastAsia="zh-CN"/>
        </w:rPr>
        <w:t>（</w:t>
      </w:r>
      <w:r>
        <w:rPr>
          <w:color w:val="auto"/>
          <w:u w:val="single"/>
        </w:rPr>
        <w:t xml:space="preserve"> RG 2 </w:t>
      </w:r>
      <w:r>
        <w:rPr>
          <w:rFonts w:hint="eastAsia"/>
          <w:color w:val="auto"/>
          <w:u w:val="single"/>
          <w:lang w:eastAsia="zh-CN"/>
        </w:rPr>
        <w:t>）</w:t>
      </w:r>
      <w:r>
        <w:rPr>
          <w:color w:val="auto"/>
          <w:u w:val="single"/>
        </w:rPr>
        <w:t>和</w:t>
      </w:r>
      <w:r>
        <w:rPr>
          <w:color w:val="auto"/>
        </w:rPr>
        <w:t>风险</w:t>
      </w:r>
      <w:r>
        <w:rPr>
          <w:rFonts w:hint="eastAsia"/>
          <w:color w:val="auto"/>
          <w:lang w:val="en-US" w:eastAsia="zh-CN"/>
        </w:rPr>
        <w:t>3类</w:t>
      </w:r>
      <w:r>
        <w:rPr>
          <w:rFonts w:hint="eastAsia"/>
          <w:color w:val="auto"/>
          <w:lang w:eastAsia="zh-CN"/>
        </w:rPr>
        <w:t>（</w:t>
      </w:r>
      <w:r>
        <w:rPr>
          <w:color w:val="auto"/>
          <w:u w:val="single"/>
        </w:rPr>
        <w:t xml:space="preserve"> RG 3 </w:t>
      </w:r>
      <w:r>
        <w:rPr>
          <w:rFonts w:hint="eastAsia"/>
          <w:color w:val="auto"/>
          <w:u w:val="single"/>
          <w:lang w:eastAsia="zh-CN"/>
        </w:rPr>
        <w:t>）。</w:t>
      </w:r>
    </w:p>
    <w:p w14:paraId="02C2B6D3">
      <w:pPr>
        <w:pStyle w:val="3"/>
        <w:rPr>
          <w:rFonts w:hint="default" w:ascii="黑体" w:hAnsi="黑体" w:eastAsia="黑体"/>
          <w:color w:val="auto"/>
        </w:rPr>
      </w:pPr>
      <w:bookmarkStart w:id="72" w:name="_Toc20873"/>
      <w:r>
        <w:rPr>
          <w:rFonts w:ascii="黑体" w:hAnsi="黑体" w:eastAsia="黑体"/>
          <w:color w:val="auto"/>
        </w:rPr>
        <w:t>照相用电子闪光灯光辐射安全风险</w:t>
      </w:r>
      <w:r>
        <w:rPr>
          <w:rFonts w:hint="default" w:ascii="黑体" w:hAnsi="黑体" w:eastAsia="黑体" w:cs="Times New Roman"/>
          <w:color w:val="auto"/>
          <w:kern w:val="0"/>
          <w:sz w:val="21"/>
          <w:szCs w:val="20"/>
          <w:lang w:val="en-US" w:eastAsia="zh-CN" w:bidi="ar"/>
        </w:rPr>
        <w:t>专业分类和通用分级的对应关系</w:t>
      </w:r>
      <w:bookmarkEnd w:id="72"/>
    </w:p>
    <w:p w14:paraId="7821F3A5">
      <w:pPr>
        <w:pStyle w:val="7"/>
        <w:ind w:firstLine="420"/>
        <w:rPr>
          <w:rFonts w:hint="default"/>
          <w:color w:val="auto"/>
          <w:u w:val="single"/>
          <w:lang w:val="en-US" w:eastAsia="zh-CN"/>
        </w:rPr>
      </w:pPr>
      <w:r>
        <w:rPr>
          <w:rFonts w:ascii="宋体" w:hAnsi="Times New Roman" w:eastAsia="宋体" w:cs="Times New Roman"/>
          <w:color w:val="auto"/>
        </w:rPr>
        <w:t>照相用电子闪光灯光辐射安全风险</w:t>
      </w:r>
      <w:r>
        <w:rPr>
          <w:rFonts w:hint="eastAsia" w:ascii="宋体" w:hAnsi="Times New Roman" w:eastAsia="宋体" w:cs="Times New Roman"/>
          <w:color w:val="auto"/>
          <w:kern w:val="0"/>
          <w:sz w:val="21"/>
          <w:szCs w:val="20"/>
          <w:lang w:val="en-US" w:eastAsia="zh-CN" w:bidi="ar"/>
        </w:rPr>
        <w:t>等级专业分类和通用分级的对应关系</w:t>
      </w:r>
      <w:r>
        <w:rPr>
          <w:rFonts w:hint="eastAsia" w:ascii="宋体" w:eastAsia="宋体" w:cs="Times New Roman"/>
          <w:color w:val="auto"/>
          <w:kern w:val="0"/>
          <w:sz w:val="21"/>
          <w:szCs w:val="20"/>
          <w:lang w:val="en-US" w:eastAsia="zh-CN" w:bidi="ar"/>
        </w:rPr>
        <w:t>见表1。</w:t>
      </w:r>
    </w:p>
    <w:p w14:paraId="5CD27F43">
      <w:pPr>
        <w:pStyle w:val="7"/>
        <w:ind w:firstLine="420"/>
        <w:rPr>
          <w:color w:val="auto"/>
          <w:u w:val="single"/>
        </w:rPr>
      </w:pPr>
    </w:p>
    <w:p w14:paraId="658C2D24">
      <w:pPr>
        <w:pStyle w:val="7"/>
        <w:ind w:firstLine="420"/>
        <w:jc w:val="center"/>
        <w:rPr>
          <w:rFonts w:hint="eastAsia" w:ascii="黑体" w:hAnsi="黑体" w:eastAsia="黑体" w:cs="黑体"/>
          <w:color w:val="auto"/>
        </w:rPr>
      </w:pPr>
      <w:r>
        <w:rPr>
          <w:rFonts w:hint="eastAsia" w:ascii="黑体" w:hAnsi="黑体" w:eastAsia="黑体" w:cs="黑体"/>
          <w:color w:val="auto"/>
        </w:rPr>
        <w:t>表 1  照相用电子闪光灯产品光辐射安全风险通用分级和专业分类一览表</w:t>
      </w:r>
    </w:p>
    <w:tbl>
      <w:tblPr>
        <w:tblStyle w:val="31"/>
        <w:tblW w:w="7987"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089"/>
        <w:gridCol w:w="1667"/>
        <w:gridCol w:w="1880"/>
        <w:gridCol w:w="1710"/>
        <w:gridCol w:w="1641"/>
      </w:tblGrid>
      <w:tr w14:paraId="1826E53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8" w:hRule="atLeast"/>
          <w:jc w:val="center"/>
        </w:trPr>
        <w:tc>
          <w:tcPr>
            <w:tcW w:w="1089" w:type="dxa"/>
            <w:tcBorders>
              <w:tl2br w:val="nil"/>
              <w:tr2bl w:val="nil"/>
            </w:tcBorders>
            <w:noWrap w:val="0"/>
            <w:vAlign w:val="center"/>
          </w:tcPr>
          <w:p w14:paraId="4DE32B94">
            <w:pPr>
              <w:pStyle w:val="7"/>
              <w:ind w:left="0" w:leftChars="0" w:firstLine="0" w:firstLineChars="0"/>
              <w:rPr>
                <w:color w:val="auto"/>
                <w:sz w:val="18"/>
                <w:szCs w:val="18"/>
              </w:rPr>
            </w:pPr>
            <w:r>
              <w:rPr>
                <w:color w:val="auto"/>
                <w:sz w:val="18"/>
                <w:szCs w:val="18"/>
              </w:rPr>
              <w:t>通用分级</w:t>
            </w:r>
          </w:p>
        </w:tc>
        <w:tc>
          <w:tcPr>
            <w:tcW w:w="1667" w:type="dxa"/>
            <w:tcBorders>
              <w:tl2br w:val="nil"/>
              <w:tr2bl w:val="nil"/>
            </w:tcBorders>
            <w:noWrap w:val="0"/>
            <w:vAlign w:val="center"/>
          </w:tcPr>
          <w:p w14:paraId="0F97EFB7">
            <w:pPr>
              <w:pStyle w:val="7"/>
              <w:ind w:left="0" w:leftChars="0" w:firstLine="0" w:firstLineChars="0"/>
              <w:jc w:val="center"/>
              <w:rPr>
                <w:color w:val="auto"/>
                <w:sz w:val="18"/>
                <w:szCs w:val="18"/>
              </w:rPr>
            </w:pPr>
            <w:r>
              <w:rPr>
                <w:color w:val="auto"/>
                <w:sz w:val="18"/>
                <w:szCs w:val="18"/>
              </w:rPr>
              <w:t>免除级</w:t>
            </w:r>
          </w:p>
        </w:tc>
        <w:tc>
          <w:tcPr>
            <w:tcW w:w="1880" w:type="dxa"/>
            <w:tcBorders>
              <w:tl2br w:val="nil"/>
              <w:tr2bl w:val="nil"/>
            </w:tcBorders>
            <w:noWrap w:val="0"/>
            <w:vAlign w:val="center"/>
          </w:tcPr>
          <w:p w14:paraId="1917C942">
            <w:pPr>
              <w:pStyle w:val="7"/>
              <w:ind w:firstLine="420"/>
              <w:rPr>
                <w:color w:val="auto"/>
                <w:sz w:val="18"/>
                <w:szCs w:val="18"/>
              </w:rPr>
            </w:pPr>
            <w:r>
              <w:rPr>
                <w:color w:val="auto"/>
                <w:sz w:val="18"/>
                <w:szCs w:val="18"/>
              </w:rPr>
              <w:t>低风险级</w:t>
            </w:r>
          </w:p>
        </w:tc>
        <w:tc>
          <w:tcPr>
            <w:tcW w:w="1710" w:type="dxa"/>
            <w:tcBorders>
              <w:tl2br w:val="nil"/>
              <w:tr2bl w:val="nil"/>
            </w:tcBorders>
            <w:noWrap w:val="0"/>
            <w:vAlign w:val="center"/>
          </w:tcPr>
          <w:p w14:paraId="2AE055FC">
            <w:pPr>
              <w:pStyle w:val="7"/>
              <w:ind w:firstLine="420"/>
              <w:rPr>
                <w:color w:val="auto"/>
                <w:sz w:val="18"/>
                <w:szCs w:val="18"/>
              </w:rPr>
            </w:pPr>
            <w:r>
              <w:rPr>
                <w:color w:val="auto"/>
                <w:sz w:val="18"/>
                <w:szCs w:val="18"/>
              </w:rPr>
              <w:t>中风险级</w:t>
            </w:r>
          </w:p>
        </w:tc>
        <w:tc>
          <w:tcPr>
            <w:tcW w:w="1641" w:type="dxa"/>
            <w:tcBorders>
              <w:tl2br w:val="nil"/>
              <w:tr2bl w:val="nil"/>
            </w:tcBorders>
            <w:noWrap w:val="0"/>
            <w:vAlign w:val="center"/>
          </w:tcPr>
          <w:p w14:paraId="5DD4B544">
            <w:pPr>
              <w:pStyle w:val="7"/>
              <w:ind w:left="0" w:leftChars="0" w:firstLine="0" w:firstLineChars="0"/>
              <w:jc w:val="center"/>
              <w:rPr>
                <w:color w:val="auto"/>
                <w:sz w:val="18"/>
                <w:szCs w:val="18"/>
              </w:rPr>
            </w:pPr>
            <w:r>
              <w:rPr>
                <w:color w:val="auto"/>
                <w:sz w:val="18"/>
                <w:szCs w:val="18"/>
              </w:rPr>
              <w:t>高风险级</w:t>
            </w:r>
          </w:p>
        </w:tc>
      </w:tr>
      <w:tr w14:paraId="55B0DB7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1" w:hRule="atLeast"/>
          <w:jc w:val="center"/>
        </w:trPr>
        <w:tc>
          <w:tcPr>
            <w:tcW w:w="1089" w:type="dxa"/>
            <w:tcBorders>
              <w:tl2br w:val="nil"/>
              <w:tr2bl w:val="nil"/>
            </w:tcBorders>
            <w:noWrap w:val="0"/>
            <w:vAlign w:val="center"/>
          </w:tcPr>
          <w:p w14:paraId="79DB27E4">
            <w:pPr>
              <w:pStyle w:val="7"/>
              <w:ind w:left="0" w:leftChars="0" w:firstLine="0" w:firstLineChars="0"/>
              <w:rPr>
                <w:color w:val="auto"/>
                <w:sz w:val="18"/>
                <w:szCs w:val="18"/>
              </w:rPr>
            </w:pPr>
            <w:r>
              <w:rPr>
                <w:color w:val="auto"/>
                <w:sz w:val="18"/>
                <w:szCs w:val="18"/>
              </w:rPr>
              <w:t>专业分类</w:t>
            </w:r>
          </w:p>
        </w:tc>
        <w:tc>
          <w:tcPr>
            <w:tcW w:w="1667" w:type="dxa"/>
            <w:tcBorders>
              <w:tl2br w:val="nil"/>
              <w:tr2bl w:val="nil"/>
            </w:tcBorders>
            <w:noWrap w:val="0"/>
            <w:vAlign w:val="center"/>
          </w:tcPr>
          <w:p w14:paraId="0186AA43">
            <w:pPr>
              <w:pStyle w:val="7"/>
              <w:ind w:left="0" w:leftChars="0" w:firstLine="0" w:firstLineChars="0"/>
              <w:jc w:val="center"/>
              <w:rPr>
                <w:rFonts w:hint="eastAsia" w:eastAsia="宋体"/>
                <w:color w:val="auto"/>
                <w:sz w:val="18"/>
                <w:szCs w:val="18"/>
                <w:lang w:eastAsia="zh-CN"/>
              </w:rPr>
            </w:pPr>
            <w:r>
              <w:rPr>
                <w:color w:val="auto"/>
                <w:sz w:val="18"/>
                <w:szCs w:val="18"/>
                <w:u w:val="none"/>
              </w:rPr>
              <w:t xml:space="preserve">免除类 </w:t>
            </w:r>
            <w:r>
              <w:rPr>
                <w:rFonts w:hint="default"/>
                <w:color w:val="auto"/>
                <w:sz w:val="18"/>
                <w:szCs w:val="18"/>
                <w:u w:val="none"/>
                <w:lang w:eastAsia="zh-CN"/>
              </w:rPr>
              <w:t>（</w:t>
            </w:r>
            <w:r>
              <w:rPr>
                <w:color w:val="auto"/>
                <w:sz w:val="18"/>
                <w:szCs w:val="18"/>
              </w:rPr>
              <w:t>RG0</w:t>
            </w:r>
            <w:r>
              <w:rPr>
                <w:rFonts w:hint="default"/>
                <w:color w:val="auto"/>
                <w:sz w:val="18"/>
                <w:szCs w:val="18"/>
                <w:lang w:eastAsia="zh-CN"/>
              </w:rPr>
              <w:t>）</w:t>
            </w:r>
          </w:p>
        </w:tc>
        <w:tc>
          <w:tcPr>
            <w:tcW w:w="1880" w:type="dxa"/>
            <w:tcBorders>
              <w:tl2br w:val="nil"/>
              <w:tr2bl w:val="nil"/>
            </w:tcBorders>
            <w:noWrap w:val="0"/>
            <w:vAlign w:val="center"/>
          </w:tcPr>
          <w:p w14:paraId="766D01BF">
            <w:pPr>
              <w:pStyle w:val="7"/>
              <w:ind w:left="0" w:leftChars="0" w:firstLine="0" w:firstLineChars="0"/>
              <w:jc w:val="center"/>
              <w:rPr>
                <w:rFonts w:hint="eastAsia" w:eastAsia="宋体"/>
                <w:color w:val="auto"/>
                <w:sz w:val="18"/>
                <w:szCs w:val="18"/>
                <w:lang w:eastAsia="zh-CN"/>
              </w:rPr>
            </w:pPr>
            <w:r>
              <w:rPr>
                <w:color w:val="auto"/>
                <w:sz w:val="18"/>
                <w:szCs w:val="18"/>
                <w:u w:val="none"/>
              </w:rPr>
              <w:t>风险</w:t>
            </w:r>
            <w:r>
              <w:rPr>
                <w:rFonts w:hint="eastAsia"/>
                <w:color w:val="auto"/>
                <w:sz w:val="18"/>
                <w:szCs w:val="18"/>
                <w:u w:val="none"/>
                <w:lang w:val="en-US" w:eastAsia="zh-CN"/>
              </w:rPr>
              <w:t>1</w:t>
            </w:r>
            <w:r>
              <w:rPr>
                <w:rFonts w:hint="default"/>
                <w:color w:val="auto"/>
                <w:sz w:val="18"/>
                <w:szCs w:val="18"/>
                <w:u w:val="none"/>
                <w:lang w:val="en-US" w:eastAsia="zh-CN"/>
              </w:rPr>
              <w:t>类（</w:t>
            </w:r>
            <w:r>
              <w:rPr>
                <w:color w:val="auto"/>
                <w:sz w:val="18"/>
                <w:szCs w:val="18"/>
                <w:u w:val="none"/>
              </w:rPr>
              <w:t>RG1</w:t>
            </w:r>
            <w:r>
              <w:rPr>
                <w:rFonts w:hint="default"/>
                <w:color w:val="auto"/>
                <w:sz w:val="18"/>
                <w:szCs w:val="18"/>
                <w:u w:val="none"/>
                <w:lang w:eastAsia="zh-CN"/>
              </w:rPr>
              <w:t>）</w:t>
            </w:r>
          </w:p>
        </w:tc>
        <w:tc>
          <w:tcPr>
            <w:tcW w:w="1710" w:type="dxa"/>
            <w:tcBorders>
              <w:tl2br w:val="nil"/>
              <w:tr2bl w:val="nil"/>
            </w:tcBorders>
            <w:noWrap w:val="0"/>
            <w:vAlign w:val="center"/>
          </w:tcPr>
          <w:p w14:paraId="4D842F08">
            <w:pPr>
              <w:pStyle w:val="7"/>
              <w:ind w:left="0" w:leftChars="0" w:firstLine="0" w:firstLineChars="0"/>
              <w:jc w:val="center"/>
              <w:rPr>
                <w:rFonts w:hint="eastAsia" w:eastAsia="宋体"/>
                <w:color w:val="auto"/>
                <w:sz w:val="18"/>
                <w:szCs w:val="18"/>
                <w:lang w:eastAsia="zh-CN"/>
              </w:rPr>
            </w:pPr>
            <w:r>
              <w:rPr>
                <w:color w:val="auto"/>
                <w:sz w:val="18"/>
                <w:szCs w:val="18"/>
                <w:u w:val="none"/>
              </w:rPr>
              <w:t>风险</w:t>
            </w:r>
            <w:r>
              <w:rPr>
                <w:rFonts w:hint="eastAsia"/>
                <w:color w:val="auto"/>
                <w:sz w:val="18"/>
                <w:szCs w:val="18"/>
                <w:u w:val="none"/>
                <w:lang w:val="en-US" w:eastAsia="zh-CN"/>
              </w:rPr>
              <w:t>2</w:t>
            </w:r>
            <w:r>
              <w:rPr>
                <w:rFonts w:hint="default"/>
                <w:color w:val="auto"/>
                <w:sz w:val="18"/>
                <w:szCs w:val="18"/>
                <w:u w:val="none"/>
                <w:lang w:val="en-US" w:eastAsia="zh-CN"/>
              </w:rPr>
              <w:t>类（</w:t>
            </w:r>
            <w:r>
              <w:rPr>
                <w:color w:val="auto"/>
                <w:sz w:val="18"/>
                <w:szCs w:val="18"/>
                <w:u w:val="none"/>
              </w:rPr>
              <w:t>RG2</w:t>
            </w:r>
            <w:r>
              <w:rPr>
                <w:rFonts w:hint="default"/>
                <w:color w:val="auto"/>
                <w:sz w:val="18"/>
                <w:szCs w:val="18"/>
                <w:u w:val="none"/>
                <w:lang w:eastAsia="zh-CN"/>
              </w:rPr>
              <w:t>）</w:t>
            </w:r>
          </w:p>
        </w:tc>
        <w:tc>
          <w:tcPr>
            <w:tcW w:w="1641" w:type="dxa"/>
            <w:tcBorders>
              <w:tl2br w:val="nil"/>
              <w:tr2bl w:val="nil"/>
            </w:tcBorders>
            <w:noWrap w:val="0"/>
            <w:vAlign w:val="center"/>
          </w:tcPr>
          <w:p w14:paraId="3608117E">
            <w:pPr>
              <w:pStyle w:val="7"/>
              <w:ind w:firstLine="0" w:firstLineChars="0"/>
              <w:jc w:val="center"/>
              <w:rPr>
                <w:rFonts w:hint="eastAsia" w:eastAsia="宋体"/>
                <w:color w:val="auto"/>
                <w:sz w:val="18"/>
                <w:szCs w:val="18"/>
                <w:lang w:eastAsia="zh-CN"/>
              </w:rPr>
            </w:pPr>
            <w:r>
              <w:rPr>
                <w:color w:val="auto"/>
                <w:sz w:val="18"/>
                <w:szCs w:val="18"/>
                <w:u w:val="none"/>
              </w:rPr>
              <w:t>风险</w:t>
            </w:r>
            <w:r>
              <w:rPr>
                <w:rFonts w:hint="eastAsia"/>
                <w:color w:val="auto"/>
                <w:sz w:val="18"/>
                <w:szCs w:val="18"/>
                <w:u w:val="none"/>
                <w:lang w:val="en-US" w:eastAsia="zh-CN"/>
              </w:rPr>
              <w:t>3</w:t>
            </w:r>
            <w:r>
              <w:rPr>
                <w:rFonts w:hint="default"/>
                <w:color w:val="auto"/>
                <w:sz w:val="18"/>
                <w:szCs w:val="18"/>
                <w:u w:val="none"/>
                <w:lang w:val="en-US" w:eastAsia="zh-CN"/>
              </w:rPr>
              <w:t>类</w:t>
            </w:r>
            <w:r>
              <w:rPr>
                <w:rFonts w:hint="eastAsia" w:ascii="宋体" w:eastAsia="宋体" w:cs="Times New Roman"/>
                <w:color w:val="auto"/>
                <w:sz w:val="18"/>
                <w:szCs w:val="18"/>
                <w:u w:val="none"/>
                <w:lang w:val="en-US" w:eastAsia="zh-CN"/>
              </w:rPr>
              <w:t>（</w:t>
            </w:r>
            <w:r>
              <w:rPr>
                <w:color w:val="auto"/>
                <w:sz w:val="18"/>
                <w:szCs w:val="18"/>
                <w:u w:val="none"/>
              </w:rPr>
              <w:t>RG3</w:t>
            </w:r>
            <w:r>
              <w:rPr>
                <w:rFonts w:hint="eastAsia" w:ascii="宋体" w:eastAsia="宋体" w:cs="Times New Roman"/>
                <w:color w:val="auto"/>
                <w:sz w:val="18"/>
                <w:szCs w:val="18"/>
                <w:u w:val="none"/>
                <w:lang w:eastAsia="zh-CN"/>
              </w:rPr>
              <w:t>）</w:t>
            </w:r>
          </w:p>
        </w:tc>
      </w:tr>
    </w:tbl>
    <w:p w14:paraId="202DE391">
      <w:pPr>
        <w:pStyle w:val="6"/>
        <w:spacing w:before="240" w:after="240"/>
        <w:rPr>
          <w:color w:val="auto"/>
          <w:szCs w:val="21"/>
        </w:rPr>
      </w:pPr>
      <w:bookmarkStart w:id="73" w:name="_Toc16170"/>
      <w:bookmarkEnd w:id="73"/>
      <w:bookmarkStart w:id="74" w:name="_Toc346"/>
      <w:bookmarkEnd w:id="74"/>
      <w:bookmarkStart w:id="75" w:name="_Toc238641369"/>
      <w:bookmarkStart w:id="76" w:name="_Toc14952"/>
      <w:bookmarkStart w:id="77" w:name="_Toc17702"/>
      <w:r>
        <w:rPr>
          <w:rFonts w:hint="eastAsia"/>
          <w:color w:val="auto"/>
          <w:szCs w:val="21"/>
          <w:lang w:val="en-US" w:eastAsia="zh-CN"/>
        </w:rPr>
        <w:t>光辐射安全</w:t>
      </w:r>
      <w:r>
        <w:rPr>
          <w:color w:val="auto"/>
          <w:szCs w:val="21"/>
        </w:rPr>
        <w:t>管理和控制要求</w:t>
      </w:r>
      <w:bookmarkEnd w:id="75"/>
      <w:bookmarkEnd w:id="76"/>
      <w:bookmarkEnd w:id="77"/>
    </w:p>
    <w:p w14:paraId="3A281280">
      <w:pPr>
        <w:pStyle w:val="3"/>
        <w:rPr>
          <w:rFonts w:hint="default" w:ascii="黑体" w:hAnsi="黑体" w:eastAsia="黑体"/>
        </w:rPr>
      </w:pPr>
      <w:bookmarkStart w:id="78" w:name="_Toc16185"/>
      <w:bookmarkEnd w:id="78"/>
      <w:bookmarkStart w:id="79" w:name="_Toc25759"/>
      <w:bookmarkEnd w:id="79"/>
      <w:bookmarkStart w:id="80" w:name="_Toc6221"/>
      <w:bookmarkEnd w:id="80"/>
      <w:bookmarkStart w:id="81" w:name="_Toc934"/>
      <w:bookmarkEnd w:id="81"/>
      <w:bookmarkStart w:id="82" w:name="_Toc18067"/>
      <w:bookmarkEnd w:id="82"/>
      <w:bookmarkStart w:id="83" w:name="_Toc29863"/>
      <w:bookmarkStart w:id="84" w:name="_Toc19395"/>
      <w:r>
        <w:rPr>
          <w:rFonts w:ascii="黑体" w:hAnsi="黑体" w:eastAsia="黑体"/>
        </w:rPr>
        <w:t>通用要求</w:t>
      </w:r>
      <w:bookmarkEnd w:id="83"/>
      <w:bookmarkEnd w:id="84"/>
    </w:p>
    <w:p w14:paraId="7847A514">
      <w:pPr>
        <w:pStyle w:val="191"/>
        <w:numPr>
          <w:ilvl w:val="0"/>
          <w:numId w:val="0"/>
        </w:numPr>
      </w:pPr>
      <w:r>
        <w:rPr>
          <w:rFonts w:ascii="黑体" w:hAnsi="黑体" w:eastAsia="黑体"/>
        </w:rPr>
        <w:t xml:space="preserve">5.1.1 </w:t>
      </w:r>
      <w:r>
        <w:t xml:space="preserve"> </w:t>
      </w:r>
      <w:r>
        <w:rPr>
          <w:rFonts w:ascii="黑体" w:hAnsi="黑体" w:eastAsia="黑体"/>
        </w:rPr>
        <w:t>产品使用说明书</w:t>
      </w:r>
    </w:p>
    <w:p w14:paraId="21E58103">
      <w:pPr>
        <w:pStyle w:val="7"/>
        <w:ind w:firstLine="420"/>
      </w:pPr>
      <w:r>
        <w:t>根据GB 44703-2024中6.1的要求执行。</w:t>
      </w:r>
    </w:p>
    <w:p w14:paraId="3A234A5C">
      <w:pPr>
        <w:pStyle w:val="191"/>
        <w:numPr>
          <w:ilvl w:val="0"/>
          <w:numId w:val="0"/>
        </w:numPr>
      </w:pPr>
      <w:bookmarkStart w:id="85" w:name="_Toc24263"/>
      <w:bookmarkEnd w:id="85"/>
      <w:bookmarkStart w:id="86" w:name="_Toc7493"/>
      <w:bookmarkEnd w:id="86"/>
      <w:bookmarkStart w:id="87" w:name="_Toc16852"/>
      <w:r>
        <w:rPr>
          <w:rFonts w:ascii="黑体" w:hAnsi="黑体" w:eastAsia="黑体"/>
        </w:rPr>
        <w:t xml:space="preserve">5.1.2  </w:t>
      </w:r>
      <w:bookmarkEnd w:id="87"/>
      <w:r>
        <w:rPr>
          <w:rFonts w:ascii="黑体" w:hAnsi="黑体" w:eastAsia="黑体"/>
        </w:rPr>
        <w:t>标识</w:t>
      </w:r>
    </w:p>
    <w:p w14:paraId="60C229D4">
      <w:pPr>
        <w:pStyle w:val="7"/>
        <w:ind w:firstLine="420"/>
      </w:pPr>
      <w:r>
        <w:rPr>
          <w:rFonts w:hint="eastAsia"/>
        </w:rPr>
        <w:t>a）</w:t>
      </w:r>
      <w:r>
        <w:t>各类照相用电子闪光灯应按照表2的要求加贴对应的光辐射安全风险标识。</w:t>
      </w:r>
    </w:p>
    <w:p w14:paraId="5079EFF5">
      <w:pPr>
        <w:pStyle w:val="7"/>
        <w:ind w:firstLine="420"/>
      </w:pPr>
    </w:p>
    <w:p w14:paraId="249E6AF8">
      <w:pPr>
        <w:pStyle w:val="7"/>
        <w:ind w:firstLine="420"/>
        <w:jc w:val="center"/>
        <w:rPr>
          <w:rFonts w:hint="eastAsia" w:ascii="黑体" w:hAnsi="黑体" w:eastAsia="黑体"/>
        </w:rPr>
      </w:pPr>
      <w:r>
        <w:rPr>
          <w:rFonts w:ascii="黑体" w:hAnsi="黑体" w:eastAsia="黑体"/>
        </w:rPr>
        <w:t>表 2  各类照相用电子闪光灯光辐射风险标识要求</w:t>
      </w:r>
    </w:p>
    <w:tbl>
      <w:tblPr>
        <w:tblStyle w:val="3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5"/>
        <w:gridCol w:w="974"/>
        <w:gridCol w:w="1286"/>
        <w:gridCol w:w="842"/>
        <w:gridCol w:w="1081"/>
        <w:gridCol w:w="1081"/>
        <w:gridCol w:w="1081"/>
        <w:gridCol w:w="1082"/>
        <w:gridCol w:w="958"/>
      </w:tblGrid>
      <w:tr w14:paraId="63035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9" w:type="pct"/>
            <w:vMerge w:val="restart"/>
            <w:tcBorders>
              <w:top w:val="single" w:color="auto" w:sz="4" w:space="0"/>
              <w:left w:val="single" w:color="auto" w:sz="4" w:space="0"/>
              <w:bottom w:val="single" w:color="auto" w:sz="4" w:space="0"/>
              <w:right w:val="single" w:color="auto" w:sz="4" w:space="0"/>
            </w:tcBorders>
            <w:noWrap w:val="0"/>
            <w:vAlign w:val="center"/>
          </w:tcPr>
          <w:p w14:paraId="134B9297">
            <w:pPr>
              <w:pStyle w:val="7"/>
              <w:ind w:firstLine="360"/>
              <w:rPr>
                <w:rFonts w:hint="eastAsia" w:hAnsi="宋体"/>
                <w:sz w:val="18"/>
                <w:szCs w:val="18"/>
              </w:rPr>
            </w:pPr>
            <w:r>
              <w:rPr>
                <w:rFonts w:hAnsi="宋体"/>
                <w:sz w:val="18"/>
                <w:szCs w:val="18"/>
              </w:rPr>
              <w:t>光源</w:t>
            </w:r>
          </w:p>
        </w:tc>
        <w:tc>
          <w:tcPr>
            <w:tcW w:w="1181" w:type="pct"/>
            <w:gridSpan w:val="2"/>
            <w:vMerge w:val="restart"/>
            <w:tcBorders>
              <w:top w:val="single" w:color="auto" w:sz="4" w:space="0"/>
              <w:left w:val="single" w:color="auto" w:sz="4" w:space="0"/>
              <w:bottom w:val="single" w:color="auto" w:sz="4" w:space="0"/>
              <w:right w:val="single" w:color="auto" w:sz="4" w:space="0"/>
            </w:tcBorders>
            <w:noWrap w:val="0"/>
            <w:vAlign w:val="center"/>
          </w:tcPr>
          <w:p w14:paraId="396625E9">
            <w:pPr>
              <w:pStyle w:val="7"/>
              <w:ind w:firstLine="360"/>
              <w:rPr>
                <w:rFonts w:hint="eastAsia" w:hAnsi="宋体"/>
                <w:sz w:val="18"/>
                <w:szCs w:val="18"/>
              </w:rPr>
            </w:pPr>
            <w:r>
              <w:rPr>
                <w:rFonts w:hAnsi="宋体"/>
                <w:sz w:val="18"/>
                <w:szCs w:val="18"/>
              </w:rPr>
              <w:t>风险专业分类</w:t>
            </w:r>
          </w:p>
        </w:tc>
        <w:tc>
          <w:tcPr>
            <w:tcW w:w="440" w:type="pct"/>
            <w:vMerge w:val="restart"/>
            <w:tcBorders>
              <w:top w:val="single" w:color="auto" w:sz="4" w:space="0"/>
              <w:left w:val="single" w:color="auto" w:sz="4" w:space="0"/>
              <w:bottom w:val="single" w:color="auto" w:sz="4" w:space="0"/>
              <w:right w:val="single" w:color="auto" w:sz="4" w:space="0"/>
            </w:tcBorders>
            <w:noWrap w:val="0"/>
            <w:vAlign w:val="center"/>
          </w:tcPr>
          <w:p w14:paraId="29C66B19">
            <w:pPr>
              <w:pStyle w:val="7"/>
              <w:ind w:firstLine="0" w:firstLineChars="0"/>
              <w:rPr>
                <w:rFonts w:hint="eastAsia" w:hAnsi="宋体"/>
                <w:sz w:val="18"/>
                <w:szCs w:val="18"/>
              </w:rPr>
            </w:pPr>
            <w:r>
              <w:rPr>
                <w:rFonts w:hAnsi="宋体"/>
                <w:sz w:val="18"/>
                <w:szCs w:val="18"/>
              </w:rPr>
              <w:t>通用标识</w:t>
            </w:r>
          </w:p>
        </w:tc>
        <w:tc>
          <w:tcPr>
            <w:tcW w:w="2760" w:type="pct"/>
            <w:gridSpan w:val="5"/>
            <w:tcBorders>
              <w:top w:val="single" w:color="auto" w:sz="4" w:space="0"/>
              <w:left w:val="single" w:color="auto" w:sz="4" w:space="0"/>
              <w:bottom w:val="single" w:color="auto" w:sz="4" w:space="0"/>
              <w:right w:val="single" w:color="auto" w:sz="4" w:space="0"/>
            </w:tcBorders>
            <w:noWrap w:val="0"/>
            <w:vAlign w:val="center"/>
          </w:tcPr>
          <w:p w14:paraId="77BCF42F">
            <w:pPr>
              <w:pStyle w:val="7"/>
              <w:ind w:firstLine="360"/>
              <w:rPr>
                <w:rFonts w:hint="eastAsia" w:hAnsi="宋体"/>
                <w:sz w:val="18"/>
                <w:szCs w:val="18"/>
              </w:rPr>
            </w:pPr>
            <w:r>
              <w:rPr>
                <w:rFonts w:hAnsi="宋体"/>
                <w:sz w:val="18"/>
                <w:szCs w:val="18"/>
              </w:rPr>
              <w:t>专业标识</w:t>
            </w:r>
          </w:p>
        </w:tc>
      </w:tr>
      <w:tr w14:paraId="1F78D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9" w:type="pct"/>
            <w:vMerge w:val="continue"/>
            <w:tcBorders>
              <w:top w:val="single" w:color="auto" w:sz="4" w:space="0"/>
              <w:left w:val="single" w:color="auto" w:sz="4" w:space="0"/>
              <w:bottom w:val="single" w:color="auto" w:sz="4" w:space="0"/>
              <w:right w:val="single" w:color="auto" w:sz="4" w:space="0"/>
            </w:tcBorders>
            <w:noWrap w:val="0"/>
            <w:vAlign w:val="center"/>
          </w:tcPr>
          <w:p w14:paraId="67231EDA">
            <w:pPr>
              <w:pStyle w:val="7"/>
              <w:ind w:firstLine="360"/>
              <w:rPr>
                <w:rFonts w:hint="eastAsia" w:hAnsi="宋体"/>
                <w:sz w:val="18"/>
                <w:szCs w:val="18"/>
              </w:rPr>
            </w:pPr>
          </w:p>
        </w:tc>
        <w:tc>
          <w:tcPr>
            <w:tcW w:w="1181"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66E9E969">
            <w:pPr>
              <w:pStyle w:val="7"/>
              <w:ind w:firstLine="360"/>
              <w:rPr>
                <w:rFonts w:hint="eastAsia" w:hAnsi="宋体"/>
                <w:sz w:val="18"/>
                <w:szCs w:val="18"/>
              </w:rPr>
            </w:pPr>
          </w:p>
        </w:tc>
        <w:tc>
          <w:tcPr>
            <w:tcW w:w="440" w:type="pct"/>
            <w:vMerge w:val="continue"/>
            <w:tcBorders>
              <w:top w:val="single" w:color="auto" w:sz="4" w:space="0"/>
              <w:left w:val="single" w:color="auto" w:sz="4" w:space="0"/>
              <w:bottom w:val="single" w:color="auto" w:sz="4" w:space="0"/>
              <w:right w:val="single" w:color="auto" w:sz="4" w:space="0"/>
            </w:tcBorders>
            <w:noWrap w:val="0"/>
            <w:vAlign w:val="center"/>
          </w:tcPr>
          <w:p w14:paraId="6E2BFD73">
            <w:pPr>
              <w:pStyle w:val="7"/>
              <w:ind w:firstLine="360"/>
              <w:rPr>
                <w:rFonts w:hint="eastAsia" w:hAnsi="宋体"/>
                <w:sz w:val="18"/>
                <w:szCs w:val="18"/>
              </w:rPr>
            </w:pPr>
          </w:p>
        </w:tc>
        <w:tc>
          <w:tcPr>
            <w:tcW w:w="2258" w:type="pct"/>
            <w:gridSpan w:val="4"/>
            <w:tcBorders>
              <w:top w:val="single" w:color="auto" w:sz="4" w:space="0"/>
              <w:left w:val="single" w:color="auto" w:sz="4" w:space="0"/>
              <w:bottom w:val="single" w:color="auto" w:sz="4" w:space="0"/>
              <w:right w:val="single" w:color="auto" w:sz="4" w:space="0"/>
            </w:tcBorders>
            <w:noWrap w:val="0"/>
            <w:vAlign w:val="center"/>
          </w:tcPr>
          <w:p w14:paraId="39987128">
            <w:pPr>
              <w:pStyle w:val="7"/>
              <w:ind w:firstLine="360"/>
              <w:rPr>
                <w:rFonts w:hint="eastAsia" w:hAnsi="宋体"/>
                <w:sz w:val="18"/>
                <w:szCs w:val="18"/>
              </w:rPr>
            </w:pPr>
            <w:r>
              <w:rPr>
                <w:rFonts w:hAnsi="宋体"/>
                <w:sz w:val="18"/>
                <w:szCs w:val="18"/>
              </w:rPr>
              <w:t>图形标志</w:t>
            </w:r>
          </w:p>
        </w:tc>
        <w:tc>
          <w:tcPr>
            <w:tcW w:w="501" w:type="pct"/>
            <w:vMerge w:val="restart"/>
            <w:tcBorders>
              <w:top w:val="single" w:color="auto" w:sz="4" w:space="0"/>
              <w:left w:val="single" w:color="auto" w:sz="4" w:space="0"/>
              <w:bottom w:val="single" w:color="auto" w:sz="4" w:space="0"/>
              <w:right w:val="single" w:color="auto" w:sz="4" w:space="0"/>
            </w:tcBorders>
            <w:noWrap w:val="0"/>
            <w:vAlign w:val="center"/>
          </w:tcPr>
          <w:p w14:paraId="0EA93E24">
            <w:pPr>
              <w:pStyle w:val="7"/>
              <w:ind w:firstLine="0" w:firstLineChars="0"/>
              <w:rPr>
                <w:rFonts w:hint="eastAsia" w:hAnsi="宋体"/>
                <w:sz w:val="18"/>
                <w:szCs w:val="18"/>
              </w:rPr>
            </w:pPr>
            <w:r>
              <w:rPr>
                <w:rFonts w:hAnsi="宋体"/>
                <w:sz w:val="18"/>
                <w:szCs w:val="18"/>
              </w:rPr>
              <w:t>风险说明</w:t>
            </w:r>
          </w:p>
        </w:tc>
      </w:tr>
      <w:tr w14:paraId="7FA70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9" w:type="pct"/>
            <w:vMerge w:val="continue"/>
            <w:tcBorders>
              <w:top w:val="single" w:color="auto" w:sz="4" w:space="0"/>
              <w:left w:val="single" w:color="auto" w:sz="4" w:space="0"/>
              <w:bottom w:val="single" w:color="auto" w:sz="4" w:space="0"/>
              <w:right w:val="single" w:color="auto" w:sz="4" w:space="0"/>
            </w:tcBorders>
            <w:noWrap w:val="0"/>
            <w:vAlign w:val="center"/>
          </w:tcPr>
          <w:p w14:paraId="16F94137">
            <w:pPr>
              <w:pStyle w:val="7"/>
              <w:ind w:firstLine="360"/>
              <w:rPr>
                <w:rFonts w:hint="eastAsia" w:hAnsi="宋体"/>
                <w:sz w:val="18"/>
                <w:szCs w:val="18"/>
              </w:rPr>
            </w:pPr>
          </w:p>
        </w:tc>
        <w:tc>
          <w:tcPr>
            <w:tcW w:w="1181"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4F444D7A">
            <w:pPr>
              <w:pStyle w:val="7"/>
              <w:ind w:firstLine="360"/>
              <w:rPr>
                <w:rFonts w:hint="eastAsia" w:hAnsi="宋体"/>
                <w:sz w:val="18"/>
                <w:szCs w:val="18"/>
              </w:rPr>
            </w:pPr>
          </w:p>
        </w:tc>
        <w:tc>
          <w:tcPr>
            <w:tcW w:w="440" w:type="pct"/>
            <w:vMerge w:val="continue"/>
            <w:tcBorders>
              <w:top w:val="single" w:color="auto" w:sz="4" w:space="0"/>
              <w:left w:val="single" w:color="auto" w:sz="4" w:space="0"/>
              <w:bottom w:val="single" w:color="auto" w:sz="4" w:space="0"/>
              <w:right w:val="single" w:color="auto" w:sz="4" w:space="0"/>
            </w:tcBorders>
            <w:noWrap w:val="0"/>
            <w:vAlign w:val="center"/>
          </w:tcPr>
          <w:p w14:paraId="065D1BB8">
            <w:pPr>
              <w:pStyle w:val="7"/>
              <w:ind w:firstLine="360"/>
              <w:rPr>
                <w:rFonts w:hint="eastAsia" w:hAnsi="宋体"/>
                <w:sz w:val="18"/>
                <w:szCs w:val="18"/>
              </w:rPr>
            </w:pPr>
          </w:p>
        </w:tc>
        <w:tc>
          <w:tcPr>
            <w:tcW w:w="565" w:type="pct"/>
            <w:tcBorders>
              <w:top w:val="single" w:color="auto" w:sz="4" w:space="0"/>
              <w:left w:val="single" w:color="auto" w:sz="4" w:space="0"/>
              <w:bottom w:val="single" w:color="auto" w:sz="4" w:space="0"/>
              <w:right w:val="single" w:color="auto" w:sz="4" w:space="0"/>
            </w:tcBorders>
            <w:noWrap w:val="0"/>
            <w:vAlign w:val="center"/>
          </w:tcPr>
          <w:p w14:paraId="1C2D0C34">
            <w:pPr>
              <w:pStyle w:val="7"/>
              <w:ind w:firstLine="0" w:firstLineChars="0"/>
              <w:rPr>
                <w:rFonts w:hint="eastAsia" w:hAnsi="宋体"/>
                <w:sz w:val="18"/>
                <w:szCs w:val="18"/>
              </w:rPr>
            </w:pPr>
            <w:r>
              <w:rPr>
                <w:rFonts w:hAnsi="宋体"/>
                <w:sz w:val="18"/>
                <w:szCs w:val="18"/>
              </w:rPr>
              <w:t>光辐射警告</w:t>
            </w:r>
          </w:p>
        </w:tc>
        <w:tc>
          <w:tcPr>
            <w:tcW w:w="565" w:type="pct"/>
            <w:tcBorders>
              <w:top w:val="single" w:color="auto" w:sz="4" w:space="0"/>
              <w:left w:val="single" w:color="auto" w:sz="4" w:space="0"/>
              <w:bottom w:val="single" w:color="auto" w:sz="4" w:space="0"/>
              <w:right w:val="single" w:color="auto" w:sz="4" w:space="0"/>
            </w:tcBorders>
            <w:noWrap w:val="0"/>
            <w:vAlign w:val="center"/>
          </w:tcPr>
          <w:p w14:paraId="4F293004">
            <w:pPr>
              <w:pStyle w:val="7"/>
              <w:ind w:firstLine="0" w:firstLineChars="0"/>
              <w:rPr>
                <w:rFonts w:hint="eastAsia" w:hAnsi="宋体"/>
                <w:sz w:val="18"/>
                <w:szCs w:val="18"/>
              </w:rPr>
            </w:pPr>
            <w:r>
              <w:rPr>
                <w:rFonts w:hAnsi="宋体"/>
                <w:sz w:val="18"/>
                <w:szCs w:val="18"/>
              </w:rPr>
              <w:t>禁止直射眼睛</w:t>
            </w:r>
          </w:p>
        </w:tc>
        <w:tc>
          <w:tcPr>
            <w:tcW w:w="565" w:type="pct"/>
            <w:tcBorders>
              <w:top w:val="single" w:color="auto" w:sz="4" w:space="0"/>
              <w:left w:val="single" w:color="auto" w:sz="4" w:space="0"/>
              <w:bottom w:val="single" w:color="auto" w:sz="4" w:space="0"/>
              <w:right w:val="single" w:color="auto" w:sz="4" w:space="0"/>
            </w:tcBorders>
            <w:noWrap w:val="0"/>
            <w:vAlign w:val="center"/>
          </w:tcPr>
          <w:p w14:paraId="6861D104">
            <w:pPr>
              <w:pStyle w:val="7"/>
              <w:ind w:firstLine="0" w:firstLineChars="0"/>
              <w:rPr>
                <w:rFonts w:hint="eastAsia" w:hAnsi="宋体"/>
                <w:sz w:val="18"/>
                <w:szCs w:val="18"/>
              </w:rPr>
            </w:pPr>
            <w:r>
              <w:rPr>
                <w:rFonts w:hAnsi="宋体"/>
                <w:sz w:val="18"/>
                <w:szCs w:val="18"/>
              </w:rPr>
              <w:t>禁止照射皮肤</w:t>
            </w:r>
          </w:p>
        </w:tc>
        <w:tc>
          <w:tcPr>
            <w:tcW w:w="565" w:type="pct"/>
            <w:tcBorders>
              <w:top w:val="single" w:color="auto" w:sz="4" w:space="0"/>
              <w:left w:val="single" w:color="auto" w:sz="4" w:space="0"/>
              <w:bottom w:val="single" w:color="auto" w:sz="4" w:space="0"/>
              <w:right w:val="single" w:color="auto" w:sz="4" w:space="0"/>
            </w:tcBorders>
            <w:noWrap w:val="0"/>
            <w:vAlign w:val="center"/>
          </w:tcPr>
          <w:p w14:paraId="7D5909B0">
            <w:pPr>
              <w:pStyle w:val="7"/>
              <w:ind w:firstLine="0" w:firstLineChars="0"/>
              <w:rPr>
                <w:rFonts w:hint="eastAsia" w:hAnsi="宋体"/>
                <w:sz w:val="18"/>
                <w:szCs w:val="18"/>
              </w:rPr>
            </w:pPr>
            <w:r>
              <w:rPr>
                <w:rFonts w:hAnsi="宋体"/>
                <w:sz w:val="18"/>
                <w:szCs w:val="18"/>
              </w:rPr>
              <w:t>指令标志</w:t>
            </w:r>
          </w:p>
        </w:tc>
        <w:tc>
          <w:tcPr>
            <w:tcW w:w="501" w:type="pct"/>
            <w:vMerge w:val="continue"/>
            <w:tcBorders>
              <w:top w:val="single" w:color="auto" w:sz="4" w:space="0"/>
              <w:left w:val="single" w:color="auto" w:sz="4" w:space="0"/>
              <w:bottom w:val="single" w:color="auto" w:sz="4" w:space="0"/>
              <w:right w:val="single" w:color="auto" w:sz="4" w:space="0"/>
            </w:tcBorders>
            <w:noWrap w:val="0"/>
            <w:vAlign w:val="center"/>
          </w:tcPr>
          <w:p w14:paraId="5529690B">
            <w:pPr>
              <w:pStyle w:val="7"/>
              <w:ind w:firstLine="360"/>
              <w:rPr>
                <w:rFonts w:hint="eastAsia" w:hAnsi="宋体"/>
                <w:sz w:val="18"/>
                <w:szCs w:val="18"/>
              </w:rPr>
            </w:pPr>
          </w:p>
        </w:tc>
      </w:tr>
      <w:tr w14:paraId="600C6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9" w:type="pct"/>
            <w:vMerge w:val="restart"/>
            <w:tcBorders>
              <w:top w:val="nil"/>
              <w:left w:val="single" w:color="auto" w:sz="4" w:space="0"/>
              <w:bottom w:val="single" w:color="auto" w:sz="4" w:space="0"/>
              <w:right w:val="single" w:color="auto" w:sz="4" w:space="0"/>
            </w:tcBorders>
            <w:noWrap w:val="0"/>
            <w:vAlign w:val="center"/>
          </w:tcPr>
          <w:p w14:paraId="0D42D7B3">
            <w:pPr>
              <w:pStyle w:val="7"/>
              <w:ind w:firstLine="360"/>
              <w:rPr>
                <w:rFonts w:hint="eastAsia" w:hAnsi="宋体"/>
                <w:sz w:val="18"/>
                <w:szCs w:val="18"/>
              </w:rPr>
            </w:pPr>
            <w:r>
              <w:rPr>
                <w:rFonts w:hAnsi="宋体"/>
                <w:sz w:val="18"/>
                <w:szCs w:val="18"/>
              </w:rPr>
              <w:t>照相机用电子闪光灯</w:t>
            </w:r>
          </w:p>
        </w:tc>
        <w:tc>
          <w:tcPr>
            <w:tcW w:w="1181" w:type="pct"/>
            <w:gridSpan w:val="2"/>
            <w:tcBorders>
              <w:top w:val="single" w:color="auto" w:sz="4" w:space="0"/>
              <w:left w:val="single" w:color="auto" w:sz="4" w:space="0"/>
              <w:bottom w:val="single" w:color="auto" w:sz="4" w:space="0"/>
              <w:right w:val="single" w:color="auto" w:sz="4" w:space="0"/>
            </w:tcBorders>
            <w:noWrap w:val="0"/>
            <w:vAlign w:val="center"/>
          </w:tcPr>
          <w:p w14:paraId="49B6549F">
            <w:pPr>
              <w:pStyle w:val="7"/>
              <w:ind w:firstLine="360"/>
              <w:rPr>
                <w:rFonts w:hint="eastAsia" w:hAnsi="宋体"/>
                <w:sz w:val="18"/>
                <w:szCs w:val="18"/>
              </w:rPr>
            </w:pPr>
            <w:r>
              <w:rPr>
                <w:rFonts w:hAnsi="宋体"/>
                <w:sz w:val="18"/>
                <w:szCs w:val="18"/>
              </w:rPr>
              <w:t>RG0类</w:t>
            </w:r>
          </w:p>
        </w:tc>
        <w:tc>
          <w:tcPr>
            <w:tcW w:w="440" w:type="pct"/>
            <w:tcBorders>
              <w:top w:val="single" w:color="auto" w:sz="4" w:space="0"/>
              <w:left w:val="single" w:color="auto" w:sz="4" w:space="0"/>
              <w:bottom w:val="single" w:color="auto" w:sz="4" w:space="0"/>
              <w:right w:val="single" w:color="auto" w:sz="4" w:space="0"/>
            </w:tcBorders>
            <w:noWrap w:val="0"/>
            <w:vAlign w:val="center"/>
          </w:tcPr>
          <w:p w14:paraId="0F6B6F04">
            <w:pPr>
              <w:pStyle w:val="7"/>
              <w:ind w:firstLine="360"/>
              <w:rPr>
                <w:rFonts w:hint="eastAsia" w:hAnsi="宋体"/>
                <w:sz w:val="18"/>
                <w:szCs w:val="18"/>
              </w:rPr>
            </w:pPr>
            <w:r>
              <w:rPr>
                <w:rFonts w:hAnsi="宋体"/>
                <w:sz w:val="18"/>
                <w:szCs w:val="18"/>
              </w:rPr>
              <w:t>-</w:t>
            </w:r>
          </w:p>
        </w:tc>
        <w:tc>
          <w:tcPr>
            <w:tcW w:w="565" w:type="pct"/>
            <w:tcBorders>
              <w:top w:val="single" w:color="auto" w:sz="4" w:space="0"/>
              <w:left w:val="single" w:color="auto" w:sz="4" w:space="0"/>
              <w:bottom w:val="single" w:color="auto" w:sz="4" w:space="0"/>
              <w:right w:val="single" w:color="auto" w:sz="4" w:space="0"/>
            </w:tcBorders>
            <w:noWrap w:val="0"/>
            <w:vAlign w:val="center"/>
          </w:tcPr>
          <w:p w14:paraId="2BDA9E21">
            <w:pPr>
              <w:pStyle w:val="7"/>
              <w:ind w:firstLine="360"/>
              <w:rPr>
                <w:rFonts w:hint="eastAsia" w:hAnsi="宋体"/>
                <w:sz w:val="18"/>
                <w:szCs w:val="18"/>
              </w:rPr>
            </w:pPr>
            <w:r>
              <w:rPr>
                <w:rFonts w:hAnsi="宋体"/>
                <w:sz w:val="18"/>
                <w:szCs w:val="18"/>
              </w:rPr>
              <w:t>-</w:t>
            </w:r>
          </w:p>
        </w:tc>
        <w:tc>
          <w:tcPr>
            <w:tcW w:w="565" w:type="pct"/>
            <w:tcBorders>
              <w:top w:val="single" w:color="auto" w:sz="4" w:space="0"/>
              <w:left w:val="single" w:color="auto" w:sz="4" w:space="0"/>
              <w:bottom w:val="single" w:color="auto" w:sz="4" w:space="0"/>
              <w:right w:val="single" w:color="auto" w:sz="4" w:space="0"/>
            </w:tcBorders>
            <w:noWrap w:val="0"/>
            <w:vAlign w:val="center"/>
          </w:tcPr>
          <w:p w14:paraId="0AF6B36E">
            <w:pPr>
              <w:pStyle w:val="7"/>
              <w:ind w:firstLine="360"/>
              <w:rPr>
                <w:rFonts w:hint="eastAsia" w:hAnsi="宋体"/>
                <w:sz w:val="18"/>
                <w:szCs w:val="18"/>
              </w:rPr>
            </w:pPr>
            <w:r>
              <w:rPr>
                <w:rFonts w:hAnsi="宋体"/>
                <w:sz w:val="18"/>
                <w:szCs w:val="18"/>
              </w:rPr>
              <w:t>-</w:t>
            </w:r>
          </w:p>
        </w:tc>
        <w:tc>
          <w:tcPr>
            <w:tcW w:w="565" w:type="pct"/>
            <w:tcBorders>
              <w:top w:val="single" w:color="auto" w:sz="4" w:space="0"/>
              <w:left w:val="single" w:color="auto" w:sz="4" w:space="0"/>
              <w:bottom w:val="single" w:color="auto" w:sz="4" w:space="0"/>
              <w:right w:val="single" w:color="auto" w:sz="4" w:space="0"/>
            </w:tcBorders>
            <w:noWrap w:val="0"/>
            <w:vAlign w:val="center"/>
          </w:tcPr>
          <w:p w14:paraId="1296DD11">
            <w:pPr>
              <w:pStyle w:val="7"/>
              <w:ind w:firstLine="360"/>
              <w:rPr>
                <w:rFonts w:hint="eastAsia" w:hAnsi="宋体"/>
                <w:sz w:val="18"/>
                <w:szCs w:val="18"/>
              </w:rPr>
            </w:pPr>
            <w:r>
              <w:rPr>
                <w:rFonts w:hAnsi="宋体"/>
                <w:sz w:val="18"/>
                <w:szCs w:val="18"/>
              </w:rPr>
              <w:t>-</w:t>
            </w:r>
          </w:p>
        </w:tc>
        <w:tc>
          <w:tcPr>
            <w:tcW w:w="565" w:type="pct"/>
            <w:tcBorders>
              <w:top w:val="single" w:color="auto" w:sz="4" w:space="0"/>
              <w:left w:val="single" w:color="auto" w:sz="4" w:space="0"/>
              <w:bottom w:val="single" w:color="auto" w:sz="4" w:space="0"/>
              <w:right w:val="single" w:color="auto" w:sz="4" w:space="0"/>
            </w:tcBorders>
            <w:noWrap w:val="0"/>
            <w:vAlign w:val="center"/>
          </w:tcPr>
          <w:p w14:paraId="2361F37E">
            <w:pPr>
              <w:pStyle w:val="7"/>
              <w:ind w:firstLine="360"/>
              <w:rPr>
                <w:rFonts w:hint="eastAsia" w:hAnsi="宋体"/>
                <w:sz w:val="18"/>
                <w:szCs w:val="18"/>
              </w:rPr>
            </w:pPr>
            <w:r>
              <w:rPr>
                <w:rFonts w:hAnsi="宋体"/>
                <w:sz w:val="18"/>
                <w:szCs w:val="18"/>
              </w:rPr>
              <w:t>-</w:t>
            </w:r>
          </w:p>
        </w:tc>
        <w:tc>
          <w:tcPr>
            <w:tcW w:w="501" w:type="pct"/>
            <w:tcBorders>
              <w:top w:val="single" w:color="auto" w:sz="4" w:space="0"/>
              <w:left w:val="single" w:color="auto" w:sz="4" w:space="0"/>
              <w:bottom w:val="single" w:color="auto" w:sz="4" w:space="0"/>
              <w:right w:val="single" w:color="auto" w:sz="4" w:space="0"/>
            </w:tcBorders>
            <w:noWrap w:val="0"/>
            <w:vAlign w:val="center"/>
          </w:tcPr>
          <w:p w14:paraId="4506EAC8">
            <w:pPr>
              <w:pStyle w:val="7"/>
              <w:ind w:firstLine="360"/>
              <w:rPr>
                <w:rFonts w:hint="eastAsia" w:hAnsi="宋体"/>
                <w:sz w:val="18"/>
                <w:szCs w:val="18"/>
              </w:rPr>
            </w:pPr>
            <w:r>
              <w:rPr>
                <w:rFonts w:hAnsi="宋体"/>
                <w:sz w:val="18"/>
                <w:szCs w:val="18"/>
              </w:rPr>
              <w:t>-</w:t>
            </w:r>
          </w:p>
        </w:tc>
      </w:tr>
      <w:tr w14:paraId="65E4A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19" w:type="pct"/>
            <w:vMerge w:val="continue"/>
            <w:tcBorders>
              <w:top w:val="nil"/>
              <w:left w:val="single" w:color="auto" w:sz="4" w:space="0"/>
              <w:bottom w:val="single" w:color="auto" w:sz="4" w:space="0"/>
              <w:right w:val="single" w:color="auto" w:sz="4" w:space="0"/>
            </w:tcBorders>
            <w:noWrap w:val="0"/>
            <w:vAlign w:val="center"/>
          </w:tcPr>
          <w:p w14:paraId="48A01B9F">
            <w:pPr>
              <w:pStyle w:val="7"/>
              <w:ind w:firstLine="360"/>
              <w:rPr>
                <w:rFonts w:hint="eastAsia" w:hAnsi="宋体"/>
                <w:sz w:val="18"/>
                <w:szCs w:val="18"/>
              </w:rPr>
            </w:pPr>
          </w:p>
        </w:tc>
        <w:tc>
          <w:tcPr>
            <w:tcW w:w="509" w:type="pct"/>
            <w:vMerge w:val="restart"/>
            <w:tcBorders>
              <w:top w:val="nil"/>
              <w:left w:val="single" w:color="auto" w:sz="4" w:space="0"/>
              <w:bottom w:val="single" w:color="auto" w:sz="4" w:space="0"/>
              <w:right w:val="single" w:color="auto" w:sz="4" w:space="0"/>
            </w:tcBorders>
            <w:noWrap w:val="0"/>
            <w:vAlign w:val="center"/>
          </w:tcPr>
          <w:p w14:paraId="6BAC82B7">
            <w:pPr>
              <w:pStyle w:val="7"/>
              <w:ind w:firstLine="0" w:firstLineChars="0"/>
              <w:rPr>
                <w:rFonts w:hint="eastAsia" w:hAnsi="宋体"/>
                <w:sz w:val="18"/>
                <w:szCs w:val="18"/>
              </w:rPr>
            </w:pPr>
            <w:r>
              <w:rPr>
                <w:rFonts w:hAnsi="宋体"/>
                <w:sz w:val="18"/>
                <w:szCs w:val="18"/>
              </w:rPr>
              <w:t>RG1类</w:t>
            </w:r>
          </w:p>
        </w:tc>
        <w:tc>
          <w:tcPr>
            <w:tcW w:w="672" w:type="pct"/>
            <w:tcBorders>
              <w:top w:val="single" w:color="auto" w:sz="4" w:space="0"/>
              <w:left w:val="single" w:color="auto" w:sz="4" w:space="0"/>
              <w:bottom w:val="single" w:color="auto" w:sz="4" w:space="0"/>
              <w:right w:val="single" w:color="auto" w:sz="4" w:space="0"/>
            </w:tcBorders>
            <w:noWrap w:val="0"/>
            <w:vAlign w:val="center"/>
          </w:tcPr>
          <w:p w14:paraId="0002D63D">
            <w:pPr>
              <w:pStyle w:val="7"/>
              <w:ind w:firstLine="0" w:firstLineChars="0"/>
              <w:rPr>
                <w:rFonts w:hint="eastAsia" w:hAnsi="宋体"/>
                <w:sz w:val="18"/>
                <w:szCs w:val="18"/>
              </w:rPr>
            </w:pPr>
            <w:r>
              <w:rPr>
                <w:rFonts w:hAnsi="宋体"/>
                <w:sz w:val="18"/>
                <w:szCs w:val="18"/>
              </w:rPr>
              <w:t>可见光</w:t>
            </w:r>
          </w:p>
        </w:tc>
        <w:tc>
          <w:tcPr>
            <w:tcW w:w="440" w:type="pct"/>
            <w:tcBorders>
              <w:top w:val="single" w:color="auto" w:sz="4" w:space="0"/>
              <w:left w:val="single" w:color="auto" w:sz="4" w:space="0"/>
              <w:bottom w:val="single" w:color="auto" w:sz="4" w:space="0"/>
              <w:right w:val="single" w:color="auto" w:sz="4" w:space="0"/>
            </w:tcBorders>
            <w:noWrap w:val="0"/>
            <w:vAlign w:val="center"/>
          </w:tcPr>
          <w:p w14:paraId="01D4AA6E">
            <w:pPr>
              <w:pStyle w:val="7"/>
              <w:ind w:firstLine="360"/>
              <w:rPr>
                <w:rFonts w:hint="eastAsia" w:hAnsi="宋体"/>
                <w:sz w:val="18"/>
                <w:szCs w:val="18"/>
              </w:rPr>
            </w:pPr>
            <w:r>
              <w:rPr>
                <w:rFonts w:hAnsi="宋体"/>
                <w:sz w:val="18"/>
                <w:szCs w:val="18"/>
              </w:rPr>
              <w:t>-</w:t>
            </w:r>
          </w:p>
        </w:tc>
        <w:tc>
          <w:tcPr>
            <w:tcW w:w="565" w:type="pct"/>
            <w:tcBorders>
              <w:top w:val="single" w:color="auto" w:sz="4" w:space="0"/>
              <w:left w:val="single" w:color="auto" w:sz="4" w:space="0"/>
              <w:bottom w:val="single" w:color="auto" w:sz="4" w:space="0"/>
              <w:right w:val="single" w:color="auto" w:sz="4" w:space="0"/>
            </w:tcBorders>
            <w:noWrap w:val="0"/>
            <w:vAlign w:val="center"/>
          </w:tcPr>
          <w:p w14:paraId="1294AE6B">
            <w:pPr>
              <w:pStyle w:val="7"/>
              <w:ind w:firstLine="360"/>
              <w:rPr>
                <w:rFonts w:hint="eastAsia" w:hAnsi="宋体"/>
                <w:sz w:val="18"/>
                <w:szCs w:val="18"/>
              </w:rPr>
            </w:pPr>
            <w:r>
              <w:rPr>
                <w:rFonts w:hAnsi="宋体"/>
                <w:sz w:val="18"/>
                <w:szCs w:val="18"/>
              </w:rPr>
              <w:t>-</w:t>
            </w:r>
          </w:p>
        </w:tc>
        <w:tc>
          <w:tcPr>
            <w:tcW w:w="565" w:type="pct"/>
            <w:tcBorders>
              <w:top w:val="single" w:color="auto" w:sz="4" w:space="0"/>
              <w:left w:val="single" w:color="auto" w:sz="4" w:space="0"/>
              <w:bottom w:val="single" w:color="auto" w:sz="4" w:space="0"/>
              <w:right w:val="single" w:color="auto" w:sz="4" w:space="0"/>
            </w:tcBorders>
            <w:noWrap w:val="0"/>
            <w:vAlign w:val="center"/>
          </w:tcPr>
          <w:p w14:paraId="6F99D019">
            <w:pPr>
              <w:pStyle w:val="7"/>
              <w:ind w:firstLine="360"/>
              <w:rPr>
                <w:rFonts w:hint="eastAsia" w:hAnsi="宋体"/>
                <w:sz w:val="18"/>
                <w:szCs w:val="18"/>
              </w:rPr>
            </w:pPr>
            <w:r>
              <w:rPr>
                <w:rFonts w:hAnsi="宋体"/>
                <w:sz w:val="18"/>
                <w:szCs w:val="18"/>
              </w:rPr>
              <w:t>-</w:t>
            </w:r>
          </w:p>
        </w:tc>
        <w:tc>
          <w:tcPr>
            <w:tcW w:w="565" w:type="pct"/>
            <w:tcBorders>
              <w:top w:val="single" w:color="auto" w:sz="4" w:space="0"/>
              <w:left w:val="single" w:color="auto" w:sz="4" w:space="0"/>
              <w:bottom w:val="single" w:color="auto" w:sz="4" w:space="0"/>
              <w:right w:val="single" w:color="auto" w:sz="4" w:space="0"/>
            </w:tcBorders>
            <w:noWrap w:val="0"/>
            <w:vAlign w:val="center"/>
          </w:tcPr>
          <w:p w14:paraId="7AD2FBF7">
            <w:pPr>
              <w:pStyle w:val="7"/>
              <w:ind w:firstLine="360"/>
              <w:rPr>
                <w:rFonts w:hint="eastAsia" w:hAnsi="宋体"/>
                <w:sz w:val="18"/>
                <w:szCs w:val="18"/>
              </w:rPr>
            </w:pPr>
            <w:r>
              <w:rPr>
                <w:rFonts w:hAnsi="宋体"/>
                <w:sz w:val="18"/>
                <w:szCs w:val="18"/>
              </w:rPr>
              <w:t>-</w:t>
            </w:r>
          </w:p>
        </w:tc>
        <w:tc>
          <w:tcPr>
            <w:tcW w:w="565" w:type="pct"/>
            <w:tcBorders>
              <w:top w:val="single" w:color="auto" w:sz="4" w:space="0"/>
              <w:left w:val="single" w:color="auto" w:sz="4" w:space="0"/>
              <w:bottom w:val="single" w:color="auto" w:sz="4" w:space="0"/>
              <w:right w:val="single" w:color="auto" w:sz="4" w:space="0"/>
            </w:tcBorders>
            <w:noWrap w:val="0"/>
            <w:vAlign w:val="center"/>
          </w:tcPr>
          <w:p w14:paraId="0E99E985">
            <w:pPr>
              <w:pStyle w:val="7"/>
              <w:ind w:firstLine="360"/>
              <w:rPr>
                <w:rFonts w:hint="eastAsia" w:hAnsi="宋体"/>
                <w:sz w:val="18"/>
                <w:szCs w:val="18"/>
              </w:rPr>
            </w:pPr>
            <w:r>
              <w:rPr>
                <w:rFonts w:hAnsi="宋体"/>
                <w:sz w:val="18"/>
                <w:szCs w:val="18"/>
              </w:rPr>
              <w:t>-</w:t>
            </w:r>
          </w:p>
        </w:tc>
        <w:tc>
          <w:tcPr>
            <w:tcW w:w="501" w:type="pct"/>
            <w:tcBorders>
              <w:top w:val="single" w:color="auto" w:sz="4" w:space="0"/>
              <w:left w:val="single" w:color="auto" w:sz="4" w:space="0"/>
              <w:bottom w:val="single" w:color="auto" w:sz="4" w:space="0"/>
              <w:right w:val="single" w:color="auto" w:sz="4" w:space="0"/>
            </w:tcBorders>
            <w:noWrap w:val="0"/>
            <w:vAlign w:val="center"/>
          </w:tcPr>
          <w:p w14:paraId="7274744B">
            <w:pPr>
              <w:pStyle w:val="7"/>
              <w:ind w:firstLine="360"/>
              <w:rPr>
                <w:rFonts w:hint="eastAsia" w:hAnsi="宋体"/>
                <w:sz w:val="18"/>
                <w:szCs w:val="18"/>
              </w:rPr>
            </w:pPr>
            <w:r>
              <w:rPr>
                <w:rFonts w:hAnsi="宋体"/>
                <w:sz w:val="18"/>
                <w:szCs w:val="18"/>
              </w:rPr>
              <w:t>-</w:t>
            </w:r>
          </w:p>
        </w:tc>
      </w:tr>
      <w:tr w14:paraId="32975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619" w:type="pct"/>
            <w:vMerge w:val="continue"/>
            <w:tcBorders>
              <w:top w:val="nil"/>
              <w:left w:val="single" w:color="auto" w:sz="4" w:space="0"/>
              <w:bottom w:val="single" w:color="auto" w:sz="4" w:space="0"/>
              <w:right w:val="single" w:color="auto" w:sz="4" w:space="0"/>
            </w:tcBorders>
            <w:noWrap w:val="0"/>
            <w:vAlign w:val="center"/>
          </w:tcPr>
          <w:p w14:paraId="2003FA50">
            <w:pPr>
              <w:pStyle w:val="7"/>
              <w:ind w:firstLine="360"/>
              <w:rPr>
                <w:rFonts w:hint="eastAsia" w:hAnsi="宋体"/>
                <w:sz w:val="18"/>
                <w:szCs w:val="18"/>
              </w:rPr>
            </w:pPr>
          </w:p>
        </w:tc>
        <w:tc>
          <w:tcPr>
            <w:tcW w:w="509" w:type="pct"/>
            <w:vMerge w:val="continue"/>
            <w:tcBorders>
              <w:top w:val="nil"/>
              <w:left w:val="single" w:color="auto" w:sz="4" w:space="0"/>
              <w:bottom w:val="single" w:color="auto" w:sz="4" w:space="0"/>
              <w:right w:val="single" w:color="auto" w:sz="4" w:space="0"/>
            </w:tcBorders>
            <w:noWrap w:val="0"/>
            <w:vAlign w:val="center"/>
          </w:tcPr>
          <w:p w14:paraId="04840817">
            <w:pPr>
              <w:pStyle w:val="7"/>
              <w:ind w:firstLine="360"/>
              <w:rPr>
                <w:rFonts w:hint="eastAsia" w:hAnsi="宋体"/>
                <w:sz w:val="18"/>
                <w:szCs w:val="18"/>
              </w:rPr>
            </w:pPr>
          </w:p>
        </w:tc>
        <w:tc>
          <w:tcPr>
            <w:tcW w:w="672" w:type="pct"/>
            <w:tcBorders>
              <w:top w:val="single" w:color="auto" w:sz="4" w:space="0"/>
              <w:left w:val="single" w:color="auto" w:sz="4" w:space="0"/>
              <w:bottom w:val="single" w:color="auto" w:sz="4" w:space="0"/>
              <w:right w:val="single" w:color="auto" w:sz="4" w:space="0"/>
            </w:tcBorders>
            <w:noWrap w:val="0"/>
            <w:vAlign w:val="center"/>
          </w:tcPr>
          <w:p w14:paraId="62617A22">
            <w:pPr>
              <w:pStyle w:val="7"/>
              <w:ind w:firstLine="0" w:firstLineChars="0"/>
              <w:rPr>
                <w:rFonts w:hint="eastAsia" w:hAnsi="宋体"/>
                <w:sz w:val="18"/>
                <w:szCs w:val="18"/>
              </w:rPr>
            </w:pPr>
            <w:r>
              <w:rPr>
                <w:rFonts w:hAnsi="宋体"/>
                <w:sz w:val="18"/>
                <w:szCs w:val="18"/>
              </w:rPr>
              <w:t>紫外、红外</w:t>
            </w:r>
          </w:p>
        </w:tc>
        <w:tc>
          <w:tcPr>
            <w:tcW w:w="440" w:type="pct"/>
            <w:tcBorders>
              <w:top w:val="single" w:color="auto" w:sz="4" w:space="0"/>
              <w:left w:val="single" w:color="auto" w:sz="4" w:space="0"/>
              <w:bottom w:val="single" w:color="auto" w:sz="4" w:space="0"/>
              <w:right w:val="single" w:color="auto" w:sz="4" w:space="0"/>
            </w:tcBorders>
            <w:noWrap w:val="0"/>
            <w:vAlign w:val="center"/>
          </w:tcPr>
          <w:p w14:paraId="2E13205C">
            <w:pPr>
              <w:pStyle w:val="7"/>
              <w:ind w:firstLine="360"/>
              <w:rPr>
                <w:rFonts w:hint="eastAsia" w:hAnsi="宋体"/>
                <w:sz w:val="18"/>
                <w:szCs w:val="18"/>
              </w:rPr>
            </w:pPr>
            <w:r>
              <w:rPr>
                <w:rFonts w:hAnsi="宋体"/>
                <w:sz w:val="18"/>
                <w:szCs w:val="18"/>
              </w:rPr>
              <w:t>+</w:t>
            </w:r>
          </w:p>
        </w:tc>
        <w:tc>
          <w:tcPr>
            <w:tcW w:w="565" w:type="pct"/>
            <w:tcBorders>
              <w:top w:val="single" w:color="auto" w:sz="4" w:space="0"/>
              <w:left w:val="single" w:color="auto" w:sz="4" w:space="0"/>
              <w:bottom w:val="single" w:color="auto" w:sz="4" w:space="0"/>
              <w:right w:val="single" w:color="auto" w:sz="4" w:space="0"/>
            </w:tcBorders>
            <w:noWrap w:val="0"/>
            <w:vAlign w:val="center"/>
          </w:tcPr>
          <w:p w14:paraId="3003203F">
            <w:pPr>
              <w:pStyle w:val="7"/>
              <w:ind w:firstLine="360"/>
              <w:rPr>
                <w:rFonts w:hint="eastAsia" w:hAnsi="宋体"/>
                <w:sz w:val="18"/>
                <w:szCs w:val="18"/>
              </w:rPr>
            </w:pPr>
            <w:r>
              <w:rPr>
                <w:rFonts w:hAnsi="宋体"/>
                <w:sz w:val="18"/>
                <w:szCs w:val="18"/>
              </w:rPr>
              <w:t>+</w:t>
            </w:r>
          </w:p>
        </w:tc>
        <w:tc>
          <w:tcPr>
            <w:tcW w:w="565" w:type="pct"/>
            <w:tcBorders>
              <w:top w:val="single" w:color="auto" w:sz="4" w:space="0"/>
              <w:left w:val="single" w:color="auto" w:sz="4" w:space="0"/>
              <w:bottom w:val="single" w:color="auto" w:sz="4" w:space="0"/>
              <w:right w:val="single" w:color="auto" w:sz="4" w:space="0"/>
            </w:tcBorders>
            <w:noWrap w:val="0"/>
            <w:vAlign w:val="center"/>
          </w:tcPr>
          <w:p w14:paraId="4602A745">
            <w:pPr>
              <w:pStyle w:val="7"/>
              <w:ind w:firstLine="360"/>
              <w:rPr>
                <w:rFonts w:hint="eastAsia" w:hAnsi="宋体"/>
                <w:sz w:val="18"/>
                <w:szCs w:val="18"/>
              </w:rPr>
            </w:pPr>
            <w:r>
              <w:rPr>
                <w:rFonts w:hAnsi="宋体"/>
                <w:sz w:val="18"/>
                <w:szCs w:val="18"/>
              </w:rPr>
              <w:t>+</w:t>
            </w:r>
          </w:p>
        </w:tc>
        <w:tc>
          <w:tcPr>
            <w:tcW w:w="565" w:type="pct"/>
            <w:tcBorders>
              <w:top w:val="single" w:color="auto" w:sz="4" w:space="0"/>
              <w:left w:val="single" w:color="auto" w:sz="4" w:space="0"/>
              <w:bottom w:val="single" w:color="auto" w:sz="4" w:space="0"/>
              <w:right w:val="single" w:color="auto" w:sz="4" w:space="0"/>
            </w:tcBorders>
            <w:noWrap w:val="0"/>
            <w:vAlign w:val="center"/>
          </w:tcPr>
          <w:p w14:paraId="37478E4B">
            <w:pPr>
              <w:pStyle w:val="7"/>
              <w:ind w:firstLine="360"/>
              <w:rPr>
                <w:rFonts w:hint="eastAsia" w:hAnsi="宋体"/>
                <w:sz w:val="18"/>
                <w:szCs w:val="18"/>
              </w:rPr>
            </w:pPr>
            <w:r>
              <w:rPr>
                <w:rFonts w:hAnsi="宋体"/>
                <w:sz w:val="18"/>
                <w:szCs w:val="18"/>
              </w:rPr>
              <w:t>+</w:t>
            </w:r>
          </w:p>
        </w:tc>
        <w:tc>
          <w:tcPr>
            <w:tcW w:w="565" w:type="pct"/>
            <w:tcBorders>
              <w:top w:val="single" w:color="auto" w:sz="4" w:space="0"/>
              <w:left w:val="single" w:color="auto" w:sz="4" w:space="0"/>
              <w:bottom w:val="single" w:color="auto" w:sz="4" w:space="0"/>
              <w:right w:val="single" w:color="auto" w:sz="4" w:space="0"/>
            </w:tcBorders>
            <w:noWrap w:val="0"/>
            <w:vAlign w:val="center"/>
          </w:tcPr>
          <w:p w14:paraId="357E63C2">
            <w:pPr>
              <w:pStyle w:val="7"/>
              <w:ind w:firstLine="360"/>
              <w:rPr>
                <w:rFonts w:hint="eastAsia" w:hAnsi="宋体"/>
                <w:sz w:val="18"/>
                <w:szCs w:val="18"/>
              </w:rPr>
            </w:pPr>
            <w:r>
              <w:rPr>
                <w:rFonts w:hAnsi="宋体"/>
                <w:sz w:val="18"/>
                <w:szCs w:val="18"/>
              </w:rPr>
              <w:t>-</w:t>
            </w:r>
          </w:p>
        </w:tc>
        <w:tc>
          <w:tcPr>
            <w:tcW w:w="501" w:type="pct"/>
            <w:tcBorders>
              <w:top w:val="single" w:color="auto" w:sz="4" w:space="0"/>
              <w:left w:val="single" w:color="auto" w:sz="4" w:space="0"/>
              <w:bottom w:val="single" w:color="auto" w:sz="4" w:space="0"/>
              <w:right w:val="single" w:color="auto" w:sz="4" w:space="0"/>
            </w:tcBorders>
            <w:noWrap w:val="0"/>
            <w:vAlign w:val="center"/>
          </w:tcPr>
          <w:p w14:paraId="498A23AE">
            <w:pPr>
              <w:pStyle w:val="7"/>
              <w:ind w:firstLine="360"/>
              <w:rPr>
                <w:rFonts w:hint="eastAsia" w:hAnsi="宋体"/>
                <w:sz w:val="18"/>
                <w:szCs w:val="18"/>
              </w:rPr>
            </w:pPr>
            <w:r>
              <w:rPr>
                <w:rFonts w:hAnsi="宋体"/>
                <w:sz w:val="18"/>
                <w:szCs w:val="18"/>
              </w:rPr>
              <w:t>+</w:t>
            </w:r>
          </w:p>
        </w:tc>
      </w:tr>
      <w:tr w14:paraId="45B1B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9" w:type="pct"/>
            <w:vMerge w:val="continue"/>
            <w:tcBorders>
              <w:top w:val="nil"/>
              <w:left w:val="single" w:color="auto" w:sz="4" w:space="0"/>
              <w:bottom w:val="single" w:color="auto" w:sz="4" w:space="0"/>
              <w:right w:val="single" w:color="auto" w:sz="4" w:space="0"/>
            </w:tcBorders>
            <w:noWrap w:val="0"/>
            <w:vAlign w:val="center"/>
          </w:tcPr>
          <w:p w14:paraId="08C7BE34">
            <w:pPr>
              <w:pStyle w:val="7"/>
              <w:ind w:firstLine="360"/>
              <w:rPr>
                <w:rFonts w:hint="eastAsia" w:hAnsi="宋体"/>
                <w:sz w:val="18"/>
                <w:szCs w:val="18"/>
              </w:rPr>
            </w:pPr>
          </w:p>
        </w:tc>
        <w:tc>
          <w:tcPr>
            <w:tcW w:w="1181" w:type="pct"/>
            <w:gridSpan w:val="2"/>
            <w:tcBorders>
              <w:top w:val="single" w:color="auto" w:sz="4" w:space="0"/>
              <w:left w:val="single" w:color="auto" w:sz="4" w:space="0"/>
              <w:bottom w:val="single" w:color="auto" w:sz="4" w:space="0"/>
              <w:right w:val="single" w:color="auto" w:sz="4" w:space="0"/>
            </w:tcBorders>
            <w:noWrap w:val="0"/>
            <w:vAlign w:val="center"/>
          </w:tcPr>
          <w:p w14:paraId="00EA1ED3">
            <w:pPr>
              <w:pStyle w:val="7"/>
              <w:ind w:firstLine="360"/>
              <w:rPr>
                <w:rFonts w:hint="eastAsia" w:hAnsi="宋体"/>
                <w:sz w:val="18"/>
                <w:szCs w:val="18"/>
              </w:rPr>
            </w:pPr>
            <w:r>
              <w:rPr>
                <w:rFonts w:hAnsi="宋体"/>
                <w:sz w:val="18"/>
                <w:szCs w:val="18"/>
              </w:rPr>
              <w:t>RG2类</w:t>
            </w:r>
          </w:p>
        </w:tc>
        <w:tc>
          <w:tcPr>
            <w:tcW w:w="440" w:type="pct"/>
            <w:tcBorders>
              <w:top w:val="single" w:color="auto" w:sz="4" w:space="0"/>
              <w:left w:val="single" w:color="auto" w:sz="4" w:space="0"/>
              <w:bottom w:val="single" w:color="auto" w:sz="4" w:space="0"/>
              <w:right w:val="single" w:color="auto" w:sz="4" w:space="0"/>
            </w:tcBorders>
            <w:noWrap w:val="0"/>
            <w:vAlign w:val="center"/>
          </w:tcPr>
          <w:p w14:paraId="094AB5EC">
            <w:pPr>
              <w:pStyle w:val="7"/>
              <w:ind w:firstLine="360"/>
              <w:rPr>
                <w:rFonts w:hint="eastAsia" w:hAnsi="宋体"/>
                <w:sz w:val="18"/>
                <w:szCs w:val="18"/>
              </w:rPr>
            </w:pPr>
            <w:r>
              <w:rPr>
                <w:rFonts w:hAnsi="宋体"/>
                <w:sz w:val="18"/>
                <w:szCs w:val="18"/>
              </w:rPr>
              <w:t>+</w:t>
            </w:r>
          </w:p>
        </w:tc>
        <w:tc>
          <w:tcPr>
            <w:tcW w:w="565" w:type="pct"/>
            <w:tcBorders>
              <w:top w:val="single" w:color="auto" w:sz="4" w:space="0"/>
              <w:left w:val="single" w:color="auto" w:sz="4" w:space="0"/>
              <w:bottom w:val="single" w:color="auto" w:sz="4" w:space="0"/>
              <w:right w:val="single" w:color="auto" w:sz="4" w:space="0"/>
            </w:tcBorders>
            <w:noWrap w:val="0"/>
            <w:vAlign w:val="center"/>
          </w:tcPr>
          <w:p w14:paraId="316747D8">
            <w:pPr>
              <w:pStyle w:val="7"/>
              <w:ind w:firstLine="360"/>
              <w:rPr>
                <w:rFonts w:hint="eastAsia" w:hAnsi="宋体"/>
                <w:sz w:val="18"/>
                <w:szCs w:val="18"/>
              </w:rPr>
            </w:pPr>
            <w:r>
              <w:rPr>
                <w:rFonts w:hAnsi="宋体"/>
                <w:sz w:val="18"/>
                <w:szCs w:val="18"/>
              </w:rPr>
              <w:t>+</w:t>
            </w:r>
          </w:p>
        </w:tc>
        <w:tc>
          <w:tcPr>
            <w:tcW w:w="565" w:type="pct"/>
            <w:tcBorders>
              <w:top w:val="single" w:color="auto" w:sz="4" w:space="0"/>
              <w:left w:val="single" w:color="auto" w:sz="4" w:space="0"/>
              <w:bottom w:val="single" w:color="auto" w:sz="4" w:space="0"/>
              <w:right w:val="single" w:color="auto" w:sz="4" w:space="0"/>
            </w:tcBorders>
            <w:noWrap w:val="0"/>
            <w:vAlign w:val="center"/>
          </w:tcPr>
          <w:p w14:paraId="46D6FC3B">
            <w:pPr>
              <w:pStyle w:val="7"/>
              <w:ind w:firstLine="360"/>
              <w:rPr>
                <w:rFonts w:hint="eastAsia" w:hAnsi="宋体"/>
                <w:sz w:val="18"/>
                <w:szCs w:val="18"/>
              </w:rPr>
            </w:pPr>
            <w:r>
              <w:rPr>
                <w:rFonts w:hAnsi="宋体"/>
                <w:sz w:val="18"/>
                <w:szCs w:val="18"/>
              </w:rPr>
              <w:t>+</w:t>
            </w:r>
          </w:p>
        </w:tc>
        <w:tc>
          <w:tcPr>
            <w:tcW w:w="565" w:type="pct"/>
            <w:tcBorders>
              <w:top w:val="single" w:color="auto" w:sz="4" w:space="0"/>
              <w:left w:val="single" w:color="auto" w:sz="4" w:space="0"/>
              <w:bottom w:val="single" w:color="auto" w:sz="4" w:space="0"/>
              <w:right w:val="single" w:color="auto" w:sz="4" w:space="0"/>
            </w:tcBorders>
            <w:noWrap w:val="0"/>
            <w:vAlign w:val="center"/>
          </w:tcPr>
          <w:p w14:paraId="35227BD8">
            <w:pPr>
              <w:pStyle w:val="7"/>
              <w:ind w:firstLine="360"/>
              <w:rPr>
                <w:rFonts w:hint="eastAsia" w:hAnsi="宋体"/>
                <w:sz w:val="18"/>
                <w:szCs w:val="18"/>
              </w:rPr>
            </w:pPr>
            <w:r>
              <w:rPr>
                <w:rFonts w:hAnsi="宋体"/>
                <w:sz w:val="18"/>
                <w:szCs w:val="18"/>
              </w:rPr>
              <w:t>+</w:t>
            </w:r>
          </w:p>
        </w:tc>
        <w:tc>
          <w:tcPr>
            <w:tcW w:w="565" w:type="pct"/>
            <w:tcBorders>
              <w:top w:val="single" w:color="auto" w:sz="4" w:space="0"/>
              <w:left w:val="single" w:color="auto" w:sz="4" w:space="0"/>
              <w:bottom w:val="single" w:color="auto" w:sz="4" w:space="0"/>
              <w:right w:val="single" w:color="auto" w:sz="4" w:space="0"/>
            </w:tcBorders>
            <w:noWrap w:val="0"/>
            <w:vAlign w:val="center"/>
          </w:tcPr>
          <w:p w14:paraId="44B1129E">
            <w:pPr>
              <w:pStyle w:val="7"/>
              <w:ind w:firstLine="360"/>
              <w:rPr>
                <w:rFonts w:hint="eastAsia" w:hAnsi="宋体"/>
                <w:sz w:val="18"/>
                <w:szCs w:val="18"/>
              </w:rPr>
            </w:pPr>
            <w:r>
              <w:rPr>
                <w:rFonts w:hAnsi="宋体"/>
                <w:sz w:val="18"/>
                <w:szCs w:val="18"/>
              </w:rPr>
              <w:t>-</w:t>
            </w:r>
          </w:p>
        </w:tc>
        <w:tc>
          <w:tcPr>
            <w:tcW w:w="501" w:type="pct"/>
            <w:tcBorders>
              <w:top w:val="single" w:color="auto" w:sz="4" w:space="0"/>
              <w:left w:val="single" w:color="auto" w:sz="4" w:space="0"/>
              <w:bottom w:val="single" w:color="auto" w:sz="4" w:space="0"/>
              <w:right w:val="single" w:color="auto" w:sz="4" w:space="0"/>
            </w:tcBorders>
            <w:noWrap w:val="0"/>
            <w:vAlign w:val="center"/>
          </w:tcPr>
          <w:p w14:paraId="1DF47E64">
            <w:pPr>
              <w:pStyle w:val="7"/>
              <w:ind w:firstLine="360"/>
              <w:rPr>
                <w:rFonts w:hint="eastAsia" w:hAnsi="宋体"/>
                <w:sz w:val="18"/>
                <w:szCs w:val="18"/>
              </w:rPr>
            </w:pPr>
            <w:r>
              <w:rPr>
                <w:rFonts w:hAnsi="宋体"/>
                <w:sz w:val="18"/>
                <w:szCs w:val="18"/>
              </w:rPr>
              <w:t>+</w:t>
            </w:r>
          </w:p>
        </w:tc>
      </w:tr>
      <w:tr w14:paraId="159C5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9" w:type="pct"/>
            <w:vMerge w:val="continue"/>
            <w:tcBorders>
              <w:top w:val="nil"/>
              <w:left w:val="single" w:color="auto" w:sz="4" w:space="0"/>
              <w:bottom w:val="single" w:color="auto" w:sz="4" w:space="0"/>
              <w:right w:val="single" w:color="auto" w:sz="4" w:space="0"/>
            </w:tcBorders>
            <w:noWrap w:val="0"/>
            <w:vAlign w:val="center"/>
          </w:tcPr>
          <w:p w14:paraId="27F072DE">
            <w:pPr>
              <w:pStyle w:val="7"/>
              <w:ind w:firstLine="360"/>
              <w:rPr>
                <w:rFonts w:hint="eastAsia" w:hAnsi="宋体"/>
                <w:sz w:val="18"/>
                <w:szCs w:val="18"/>
              </w:rPr>
            </w:pPr>
          </w:p>
        </w:tc>
        <w:tc>
          <w:tcPr>
            <w:tcW w:w="1181" w:type="pct"/>
            <w:gridSpan w:val="2"/>
            <w:tcBorders>
              <w:top w:val="single" w:color="auto" w:sz="4" w:space="0"/>
              <w:left w:val="single" w:color="auto" w:sz="4" w:space="0"/>
              <w:bottom w:val="single" w:color="auto" w:sz="4" w:space="0"/>
              <w:right w:val="single" w:color="auto" w:sz="4" w:space="0"/>
            </w:tcBorders>
            <w:noWrap w:val="0"/>
            <w:vAlign w:val="center"/>
          </w:tcPr>
          <w:p w14:paraId="613365D9">
            <w:pPr>
              <w:pStyle w:val="7"/>
              <w:ind w:firstLine="360"/>
              <w:rPr>
                <w:rFonts w:hint="eastAsia" w:hAnsi="宋体"/>
                <w:sz w:val="18"/>
                <w:szCs w:val="18"/>
              </w:rPr>
            </w:pPr>
            <w:r>
              <w:rPr>
                <w:rFonts w:hAnsi="宋体"/>
                <w:sz w:val="18"/>
                <w:szCs w:val="18"/>
              </w:rPr>
              <w:t>RG3类</w:t>
            </w:r>
          </w:p>
        </w:tc>
        <w:tc>
          <w:tcPr>
            <w:tcW w:w="440" w:type="pct"/>
            <w:tcBorders>
              <w:top w:val="single" w:color="auto" w:sz="4" w:space="0"/>
              <w:left w:val="single" w:color="auto" w:sz="4" w:space="0"/>
              <w:bottom w:val="single" w:color="auto" w:sz="4" w:space="0"/>
              <w:right w:val="single" w:color="auto" w:sz="4" w:space="0"/>
            </w:tcBorders>
            <w:noWrap w:val="0"/>
            <w:vAlign w:val="center"/>
          </w:tcPr>
          <w:p w14:paraId="0E672ABC">
            <w:pPr>
              <w:pStyle w:val="7"/>
              <w:ind w:firstLine="360"/>
              <w:rPr>
                <w:rFonts w:hint="eastAsia" w:hAnsi="宋体"/>
                <w:sz w:val="18"/>
                <w:szCs w:val="18"/>
              </w:rPr>
            </w:pPr>
            <w:r>
              <w:rPr>
                <w:rFonts w:hAnsi="宋体"/>
                <w:sz w:val="18"/>
                <w:szCs w:val="18"/>
              </w:rPr>
              <w:t>+</w:t>
            </w:r>
          </w:p>
        </w:tc>
        <w:tc>
          <w:tcPr>
            <w:tcW w:w="565" w:type="pct"/>
            <w:tcBorders>
              <w:top w:val="single" w:color="auto" w:sz="4" w:space="0"/>
              <w:left w:val="single" w:color="auto" w:sz="4" w:space="0"/>
              <w:bottom w:val="single" w:color="auto" w:sz="4" w:space="0"/>
              <w:right w:val="single" w:color="auto" w:sz="4" w:space="0"/>
            </w:tcBorders>
            <w:noWrap w:val="0"/>
            <w:vAlign w:val="center"/>
          </w:tcPr>
          <w:p w14:paraId="38F49BD4">
            <w:pPr>
              <w:pStyle w:val="7"/>
              <w:ind w:firstLine="360"/>
              <w:rPr>
                <w:rFonts w:hint="eastAsia" w:hAnsi="宋体"/>
                <w:sz w:val="18"/>
                <w:szCs w:val="18"/>
              </w:rPr>
            </w:pPr>
            <w:r>
              <w:rPr>
                <w:rFonts w:hAnsi="宋体"/>
                <w:sz w:val="18"/>
                <w:szCs w:val="18"/>
              </w:rPr>
              <w:t>+</w:t>
            </w:r>
          </w:p>
        </w:tc>
        <w:tc>
          <w:tcPr>
            <w:tcW w:w="565" w:type="pct"/>
            <w:tcBorders>
              <w:top w:val="single" w:color="auto" w:sz="4" w:space="0"/>
              <w:left w:val="single" w:color="auto" w:sz="4" w:space="0"/>
              <w:bottom w:val="single" w:color="auto" w:sz="4" w:space="0"/>
              <w:right w:val="single" w:color="auto" w:sz="4" w:space="0"/>
            </w:tcBorders>
            <w:noWrap w:val="0"/>
            <w:vAlign w:val="center"/>
          </w:tcPr>
          <w:p w14:paraId="7D3E2BB0">
            <w:pPr>
              <w:pStyle w:val="7"/>
              <w:ind w:firstLine="360"/>
              <w:rPr>
                <w:rFonts w:hint="eastAsia" w:hAnsi="宋体"/>
                <w:sz w:val="18"/>
                <w:szCs w:val="18"/>
              </w:rPr>
            </w:pPr>
            <w:r>
              <w:rPr>
                <w:rFonts w:hAnsi="宋体"/>
                <w:sz w:val="18"/>
                <w:szCs w:val="18"/>
              </w:rPr>
              <w:t>+</w:t>
            </w:r>
          </w:p>
        </w:tc>
        <w:tc>
          <w:tcPr>
            <w:tcW w:w="565" w:type="pct"/>
            <w:tcBorders>
              <w:top w:val="single" w:color="auto" w:sz="4" w:space="0"/>
              <w:left w:val="single" w:color="auto" w:sz="4" w:space="0"/>
              <w:bottom w:val="single" w:color="auto" w:sz="4" w:space="0"/>
              <w:right w:val="single" w:color="auto" w:sz="4" w:space="0"/>
            </w:tcBorders>
            <w:noWrap w:val="0"/>
            <w:vAlign w:val="center"/>
          </w:tcPr>
          <w:p w14:paraId="14DC0C15">
            <w:pPr>
              <w:pStyle w:val="7"/>
              <w:ind w:firstLine="360"/>
              <w:rPr>
                <w:rFonts w:hint="eastAsia" w:hAnsi="宋体"/>
                <w:sz w:val="18"/>
                <w:szCs w:val="18"/>
              </w:rPr>
            </w:pPr>
            <w:r>
              <w:rPr>
                <w:rFonts w:hAnsi="宋体"/>
                <w:sz w:val="18"/>
                <w:szCs w:val="18"/>
              </w:rPr>
              <w:t>+</w:t>
            </w:r>
          </w:p>
        </w:tc>
        <w:tc>
          <w:tcPr>
            <w:tcW w:w="565" w:type="pct"/>
            <w:tcBorders>
              <w:top w:val="single" w:color="auto" w:sz="4" w:space="0"/>
              <w:left w:val="single" w:color="auto" w:sz="4" w:space="0"/>
              <w:bottom w:val="single" w:color="auto" w:sz="4" w:space="0"/>
              <w:right w:val="single" w:color="auto" w:sz="4" w:space="0"/>
            </w:tcBorders>
            <w:noWrap w:val="0"/>
            <w:vAlign w:val="center"/>
          </w:tcPr>
          <w:p w14:paraId="636C591A">
            <w:pPr>
              <w:pStyle w:val="7"/>
              <w:ind w:firstLine="360"/>
              <w:rPr>
                <w:rFonts w:hint="eastAsia" w:hAnsi="宋体"/>
                <w:sz w:val="18"/>
                <w:szCs w:val="18"/>
              </w:rPr>
            </w:pPr>
            <w:r>
              <w:rPr>
                <w:rFonts w:hAnsi="宋体"/>
                <w:sz w:val="18"/>
                <w:szCs w:val="18"/>
              </w:rPr>
              <w:t>+</w:t>
            </w:r>
          </w:p>
        </w:tc>
        <w:tc>
          <w:tcPr>
            <w:tcW w:w="501" w:type="pct"/>
            <w:tcBorders>
              <w:top w:val="single" w:color="auto" w:sz="4" w:space="0"/>
              <w:left w:val="single" w:color="auto" w:sz="4" w:space="0"/>
              <w:bottom w:val="single" w:color="auto" w:sz="4" w:space="0"/>
              <w:right w:val="single" w:color="auto" w:sz="4" w:space="0"/>
            </w:tcBorders>
            <w:noWrap w:val="0"/>
            <w:vAlign w:val="center"/>
          </w:tcPr>
          <w:p w14:paraId="74D4B103">
            <w:pPr>
              <w:pStyle w:val="7"/>
              <w:ind w:firstLine="360"/>
              <w:rPr>
                <w:rFonts w:hint="eastAsia" w:hAnsi="宋体"/>
                <w:sz w:val="18"/>
                <w:szCs w:val="18"/>
              </w:rPr>
            </w:pPr>
            <w:r>
              <w:rPr>
                <w:rFonts w:hAnsi="宋体"/>
                <w:sz w:val="18"/>
                <w:szCs w:val="18"/>
              </w:rPr>
              <w:t>+</w:t>
            </w:r>
          </w:p>
        </w:tc>
      </w:tr>
      <w:tr w14:paraId="275E6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9"/>
            <w:tcBorders>
              <w:top w:val="single" w:color="auto" w:sz="4" w:space="0"/>
              <w:left w:val="single" w:color="auto" w:sz="4" w:space="0"/>
              <w:bottom w:val="single" w:color="auto" w:sz="4" w:space="0"/>
              <w:right w:val="single" w:color="auto" w:sz="4" w:space="0"/>
            </w:tcBorders>
            <w:noWrap w:val="0"/>
            <w:vAlign w:val="center"/>
          </w:tcPr>
          <w:p w14:paraId="3F68A486">
            <w:pPr>
              <w:pStyle w:val="7"/>
              <w:ind w:firstLine="360"/>
              <w:rPr>
                <w:sz w:val="18"/>
                <w:szCs w:val="18"/>
              </w:rPr>
            </w:pPr>
            <w:r>
              <w:rPr>
                <w:rFonts w:ascii="黑体" w:hAnsi="黑体" w:eastAsia="黑体"/>
                <w:sz w:val="18"/>
                <w:szCs w:val="18"/>
              </w:rPr>
              <w:t>注</w:t>
            </w:r>
            <w:r>
              <w:rPr>
                <w:rFonts w:hint="eastAsia" w:ascii="黑体" w:hAnsi="黑体" w:eastAsia="黑体"/>
                <w:sz w:val="18"/>
                <w:szCs w:val="18"/>
                <w:lang w:eastAsia="zh-CN"/>
              </w:rPr>
              <w:t>：</w:t>
            </w:r>
            <w:r>
              <w:rPr>
                <w:rFonts w:hint="eastAsia" w:ascii="宋体" w:hAnsi="宋体" w:eastAsia="宋体" w:cs="宋体"/>
                <w:sz w:val="18"/>
                <w:szCs w:val="18"/>
                <w:lang w:eastAsia="zh-CN"/>
              </w:rPr>
              <w:t>“</w:t>
            </w:r>
            <w:r>
              <w:rPr>
                <w:rFonts w:hint="eastAsia" w:ascii="宋体" w:hAnsi="宋体" w:eastAsia="宋体" w:cs="宋体"/>
                <w:sz w:val="18"/>
                <w:szCs w:val="18"/>
              </w:rPr>
              <w:t>+</w:t>
            </w:r>
            <w:r>
              <w:rPr>
                <w:rFonts w:hint="eastAsia" w:ascii="宋体" w:hAnsi="宋体" w:eastAsia="宋体" w:cs="宋体"/>
                <w:sz w:val="18"/>
                <w:szCs w:val="18"/>
                <w:lang w:eastAsia="zh-CN"/>
              </w:rPr>
              <w:t>”</w:t>
            </w:r>
            <w:r>
              <w:rPr>
                <w:rFonts w:hint="eastAsia" w:ascii="宋体" w:hAnsi="宋体" w:eastAsia="宋体" w:cs="宋体"/>
                <w:sz w:val="18"/>
                <w:szCs w:val="18"/>
              </w:rPr>
              <w:t>为要求</w:t>
            </w:r>
            <w:r>
              <w:rPr>
                <w:rFonts w:hint="eastAsia" w:ascii="宋体" w:hAnsi="宋体" w:eastAsia="宋体" w:cs="宋体"/>
                <w:sz w:val="18"/>
                <w:szCs w:val="18"/>
                <w:lang w:eastAsia="zh-CN"/>
              </w:rPr>
              <w:t>；“</w:t>
            </w:r>
            <w:r>
              <w:rPr>
                <w:rFonts w:hint="eastAsia" w:hAnsi="宋体" w:eastAsia="宋体" w:cs="宋体"/>
                <w:sz w:val="18"/>
                <w:szCs w:val="18"/>
                <w:lang w:val="en-US" w:eastAsia="zh-CN"/>
              </w:rPr>
              <w:t>-</w:t>
            </w:r>
            <w:r>
              <w:rPr>
                <w:rFonts w:hint="eastAsia" w:ascii="宋体" w:hAnsi="宋体" w:eastAsia="宋体" w:cs="宋体"/>
                <w:sz w:val="18"/>
                <w:szCs w:val="18"/>
                <w:lang w:eastAsia="zh-CN"/>
              </w:rPr>
              <w:t>”</w:t>
            </w:r>
            <w:r>
              <w:rPr>
                <w:rFonts w:hint="eastAsia" w:ascii="宋体" w:hAnsi="宋体" w:eastAsia="宋体" w:cs="宋体"/>
                <w:sz w:val="18"/>
                <w:szCs w:val="18"/>
              </w:rPr>
              <w:t>为不要求</w:t>
            </w:r>
            <w:r>
              <w:rPr>
                <w:sz w:val="18"/>
                <w:szCs w:val="18"/>
              </w:rPr>
              <w:t>。</w:t>
            </w:r>
          </w:p>
        </w:tc>
      </w:tr>
    </w:tbl>
    <w:p w14:paraId="65CB92A8">
      <w:pPr>
        <w:pStyle w:val="7"/>
        <w:ind w:firstLine="420"/>
      </w:pPr>
    </w:p>
    <w:p w14:paraId="24809D9B">
      <w:pPr>
        <w:pStyle w:val="7"/>
        <w:ind w:firstLine="420"/>
      </w:pPr>
      <w:r>
        <w:rPr>
          <w:rFonts w:hint="eastAsia"/>
        </w:rPr>
        <w:t>b）</w:t>
      </w:r>
      <w:r>
        <w:t>直接面向最终用户和消费者的</w:t>
      </w:r>
      <w:r>
        <w:rPr>
          <w:rFonts w:hint="eastAsia"/>
          <w:lang w:val="en-US" w:eastAsia="zh-CN"/>
        </w:rPr>
        <w:t>电子闪光灯</w:t>
      </w:r>
      <w:r>
        <w:rPr>
          <w:rFonts w:hint="eastAsia"/>
          <w:lang w:eastAsia="zh-CN"/>
        </w:rPr>
        <w:t>，</w:t>
      </w:r>
      <w:r>
        <w:t>应有光辐射安全风险等级标识</w:t>
      </w:r>
      <w:r>
        <w:rPr>
          <w:rFonts w:hint="eastAsia"/>
          <w:lang w:eastAsia="zh-CN"/>
        </w:rPr>
        <w:t>（</w:t>
      </w:r>
      <w:r>
        <w:t>简称安全标识或风险标识</w:t>
      </w:r>
      <w:r>
        <w:rPr>
          <w:rFonts w:hint="eastAsia"/>
          <w:lang w:eastAsia="zh-CN"/>
        </w:rPr>
        <w:t>）</w:t>
      </w:r>
      <w:r>
        <w:t>。安全标识应标记在不影响正常使用且便于观看、不会受到低风险级及以上风险等级光辐射危害的产品表面显著位置</w:t>
      </w:r>
      <w:r>
        <w:rPr>
          <w:rFonts w:hint="eastAsia"/>
          <w:lang w:eastAsia="zh-CN"/>
        </w:rPr>
        <w:t>，</w:t>
      </w:r>
      <w:r>
        <w:t>以及产品使用说明书、操作手册等随机文件和产品外包装上的适当位置。产品上的标识应清晰、耐用。光辐射安全风险等级标识应由风险等级通用标识和风险等级专业标识2种标识组成</w:t>
      </w:r>
      <w:r>
        <w:rPr>
          <w:rFonts w:hint="eastAsia"/>
          <w:lang w:eastAsia="zh-CN"/>
        </w:rPr>
        <w:t>，</w:t>
      </w:r>
      <w:r>
        <w:t>其中风险等级专业标识又包括图形标志和风险说明。</w:t>
      </w:r>
    </w:p>
    <w:p w14:paraId="5C82A2D4">
      <w:pPr>
        <w:pStyle w:val="7"/>
        <w:ind w:firstLine="420"/>
      </w:pPr>
      <w:r>
        <w:rPr>
          <w:rFonts w:hint="eastAsia"/>
          <w:lang w:val="en-US" w:eastAsia="zh-CN"/>
        </w:rPr>
        <w:t>c</w:t>
      </w:r>
      <w:r>
        <w:rPr>
          <w:rFonts w:hint="eastAsia"/>
        </w:rPr>
        <w:t>）</w:t>
      </w:r>
      <w:r>
        <w:t>通用标识应符合GB4403-2024的5.2，专业标识应符合GB 44703-2024的5.3，典型的光辐射安全风险等级标识的绘制要点参照GB 44703-2024的附录B。</w:t>
      </w:r>
    </w:p>
    <w:p w14:paraId="681A2C15">
      <w:pPr>
        <w:pStyle w:val="3"/>
        <w:rPr>
          <w:rFonts w:hint="default" w:ascii="黑体" w:hAnsi="黑体" w:eastAsia="黑体"/>
        </w:rPr>
      </w:pPr>
      <w:bookmarkStart w:id="88" w:name="_Toc10478801"/>
      <w:bookmarkEnd w:id="88"/>
      <w:bookmarkStart w:id="89" w:name="_Toc10478673"/>
      <w:bookmarkEnd w:id="89"/>
      <w:bookmarkStart w:id="90" w:name="_Toc10478743"/>
      <w:bookmarkEnd w:id="90"/>
      <w:bookmarkStart w:id="91" w:name="_Toc28451"/>
      <w:bookmarkStart w:id="92" w:name="_Toc6138"/>
      <w:r>
        <w:rPr>
          <w:rFonts w:ascii="黑体" w:hAnsi="黑体" w:eastAsia="黑体"/>
        </w:rPr>
        <w:t>管理和分类控制要求</w:t>
      </w:r>
      <w:bookmarkEnd w:id="91"/>
      <w:bookmarkEnd w:id="92"/>
    </w:p>
    <w:p w14:paraId="190BA63A">
      <w:pPr>
        <w:pStyle w:val="191"/>
        <w:numPr>
          <w:ilvl w:val="0"/>
          <w:numId w:val="0"/>
        </w:numPr>
        <w:rPr>
          <w:rFonts w:ascii="黑体" w:hAnsi="黑体" w:eastAsia="黑体"/>
        </w:rPr>
      </w:pPr>
      <w:r>
        <w:rPr>
          <w:rFonts w:ascii="黑体" w:hAnsi="黑体" w:eastAsia="黑体"/>
        </w:rPr>
        <w:t>5.2.1  免除级产品</w:t>
      </w:r>
      <w:bookmarkStart w:id="93" w:name="_Toc10478803"/>
      <w:bookmarkEnd w:id="93"/>
      <w:bookmarkStart w:id="94" w:name="_Toc10478675"/>
      <w:bookmarkEnd w:id="94"/>
      <w:bookmarkStart w:id="95" w:name="_Toc10478745"/>
      <w:bookmarkEnd w:id="95"/>
      <w:bookmarkStart w:id="96" w:name="_Toc650"/>
      <w:r>
        <w:rPr>
          <w:rFonts w:ascii="黑体" w:hAnsi="黑体" w:eastAsia="黑体"/>
        </w:rPr>
        <w:t xml:space="preserve"> </w:t>
      </w:r>
      <w:bookmarkEnd w:id="96"/>
    </w:p>
    <w:p w14:paraId="5BDD3739">
      <w:pPr>
        <w:pStyle w:val="7"/>
        <w:ind w:firstLine="420"/>
      </w:pPr>
      <w:r>
        <w:t>照相用电子闪光灯免除级产品准许进入家庭、办公室、公共场所等各类普通场所中使用。无需专门控制和防护。</w:t>
      </w:r>
    </w:p>
    <w:p w14:paraId="7D6DB738">
      <w:pPr>
        <w:pStyle w:val="191"/>
        <w:numPr>
          <w:ilvl w:val="0"/>
          <w:numId w:val="0"/>
        </w:numPr>
        <w:rPr>
          <w:rFonts w:ascii="宋体"/>
        </w:rPr>
      </w:pPr>
      <w:r>
        <w:rPr>
          <w:rFonts w:ascii="黑体" w:hAnsi="黑体" w:eastAsia="黑体"/>
        </w:rPr>
        <w:t xml:space="preserve">5.2.2  低风险级产品 </w:t>
      </w:r>
    </w:p>
    <w:p w14:paraId="07E3FB42">
      <w:pPr>
        <w:spacing w:line="240" w:lineRule="auto"/>
        <w:ind w:firstLine="420"/>
      </w:pPr>
      <w:r>
        <w:t>照相用电子闪光灯低风险级产品可采取控制开关等适宜的工程控制措施和使用时远离闪光灯等控制措施，以保证光辐射安全。</w:t>
      </w:r>
    </w:p>
    <w:p w14:paraId="72EBF6CB">
      <w:pPr>
        <w:ind w:firstLine="420"/>
      </w:pPr>
      <w:r>
        <w:rPr>
          <w:rFonts w:hint="eastAsia"/>
          <w:lang w:val="en-US" w:eastAsia="zh-CN"/>
        </w:rPr>
        <w:t>准许进入普通家庭</w:t>
      </w:r>
      <w:r>
        <w:rPr>
          <w:rFonts w:hint="eastAsia"/>
        </w:rPr>
        <w:t>，应</w:t>
      </w:r>
      <w:r>
        <w:rPr>
          <w:rFonts w:hint="eastAsia"/>
          <w:lang w:val="en-US" w:eastAsia="zh-CN"/>
        </w:rPr>
        <w:t>提示严格按照产品使用说明书</w:t>
      </w:r>
      <w:r>
        <w:rPr>
          <w:rFonts w:hint="eastAsia"/>
        </w:rPr>
        <w:t>操作</w:t>
      </w:r>
      <w:r>
        <w:rPr>
          <w:rFonts w:hint="eastAsia"/>
          <w:lang w:eastAsia="zh-CN"/>
        </w:rPr>
        <w:t>、</w:t>
      </w:r>
      <w:r>
        <w:rPr>
          <w:rFonts w:hint="eastAsia"/>
        </w:rPr>
        <w:t>控制</w:t>
      </w:r>
      <w:r>
        <w:rPr>
          <w:rFonts w:hint="eastAsia"/>
          <w:lang w:val="en-US" w:eastAsia="zh-CN"/>
        </w:rPr>
        <w:t>和使用</w:t>
      </w:r>
      <w:r>
        <w:rPr>
          <w:rFonts w:hint="eastAsia"/>
        </w:rPr>
        <w:t>。</w:t>
      </w:r>
    </w:p>
    <w:p w14:paraId="3977DE06">
      <w:pPr>
        <w:pStyle w:val="191"/>
        <w:numPr>
          <w:ilvl w:val="0"/>
          <w:numId w:val="0"/>
        </w:numPr>
        <w:rPr>
          <w:rFonts w:ascii="黑体" w:hAnsi="黑体" w:eastAsia="黑体"/>
        </w:rPr>
      </w:pPr>
      <w:r>
        <w:rPr>
          <w:rFonts w:ascii="黑体" w:hAnsi="黑体" w:eastAsia="黑体"/>
        </w:rPr>
        <w:t xml:space="preserve">5.2.3  中风险级产品 </w:t>
      </w:r>
    </w:p>
    <w:p w14:paraId="1967231D">
      <w:pPr>
        <w:pStyle w:val="7"/>
        <w:ind w:firstLine="420"/>
      </w:pPr>
      <w:r>
        <w:t>照相用电子闪光灯中风险级产品应具备闪光灯开关的工程控制措施，确保使用产品时光束出口和照射方向以外所有可接触部位均达到免除级要求。</w:t>
      </w:r>
    </w:p>
    <w:p w14:paraId="553DC256">
      <w:pPr>
        <w:pStyle w:val="7"/>
        <w:ind w:firstLine="420"/>
      </w:pPr>
      <w:r>
        <w:t>在家庭、办公室、公共场所等各类普通</w:t>
      </w:r>
      <w:r>
        <w:rPr>
          <w:rFonts w:hint="eastAsia"/>
          <w:lang w:eastAsia="zh-CN"/>
        </w:rPr>
        <w:t>场所</w:t>
      </w:r>
      <w:r>
        <w:t>使用时，应严格按照产品使用说明书的操作和控制。</w:t>
      </w:r>
    </w:p>
    <w:p w14:paraId="10E4C582">
      <w:pPr>
        <w:pStyle w:val="7"/>
        <w:ind w:firstLine="420"/>
      </w:pPr>
      <w:r>
        <w:t>应警告不应将产品有意照射危害距离以内人眼。</w:t>
      </w:r>
    </w:p>
    <w:p w14:paraId="236A193E">
      <w:pPr>
        <w:pStyle w:val="7"/>
        <w:ind w:firstLine="420"/>
      </w:pPr>
      <w:r>
        <w:t>应提示清洁、维护过程中</w:t>
      </w:r>
      <w:r>
        <w:rPr>
          <w:rFonts w:hint="eastAsia"/>
          <w:lang w:eastAsia="zh-CN"/>
        </w:rPr>
        <w:t>采取</w:t>
      </w:r>
      <w:r>
        <w:t>防护措施，如防护眼镜。</w:t>
      </w:r>
    </w:p>
    <w:p w14:paraId="20136851">
      <w:pPr>
        <w:pStyle w:val="7"/>
        <w:ind w:firstLine="420"/>
      </w:pPr>
      <w:r>
        <w:t>非专业人员不可拆卸或维修照相用电子闪光灯中风险级产品的光源部位。</w:t>
      </w:r>
    </w:p>
    <w:p w14:paraId="0634F2BB">
      <w:pPr>
        <w:pStyle w:val="7"/>
        <w:ind w:firstLine="420"/>
      </w:pPr>
      <w:r>
        <w:t>应提示操作者参加相关培训。</w:t>
      </w:r>
    </w:p>
    <w:p w14:paraId="1F4692D1">
      <w:pPr>
        <w:pStyle w:val="191"/>
        <w:numPr>
          <w:ilvl w:val="0"/>
          <w:numId w:val="0"/>
        </w:numPr>
      </w:pPr>
      <w:r>
        <w:rPr>
          <w:rFonts w:ascii="黑体" w:hAnsi="黑体" w:eastAsia="黑体"/>
        </w:rPr>
        <w:t>5.2.4  高风险级产品</w:t>
      </w:r>
      <w:r>
        <w:t xml:space="preserve"> </w:t>
      </w:r>
    </w:p>
    <w:p w14:paraId="78F3A64D">
      <w:pPr>
        <w:pStyle w:val="7"/>
        <w:spacing w:line="240" w:lineRule="auto"/>
        <w:ind w:firstLine="420"/>
      </w:pPr>
      <w:r>
        <w:t>照相用电子闪光灯高风险级产品应具备闪光灯开关的工程控制措施以及嵌入式设计方案，确保使用产品时光束出口和照射方向以外所有可接触部位均达到免除级要求。</w:t>
      </w:r>
    </w:p>
    <w:p w14:paraId="78A1BB22">
      <w:pPr>
        <w:pStyle w:val="7"/>
        <w:spacing w:line="240" w:lineRule="auto"/>
        <w:ind w:firstLine="420"/>
      </w:pPr>
      <w:r>
        <w:t>在家庭、办公室、公共场所等各类普通场所中使用时，</w:t>
      </w:r>
      <w:r>
        <w:rPr>
          <w:rFonts w:hint="eastAsia"/>
          <w:lang w:eastAsia="zh-CN"/>
        </w:rPr>
        <w:t>应</w:t>
      </w:r>
      <w:r>
        <w:t>严格按照产品使用说明书操作和控制。</w:t>
      </w:r>
    </w:p>
    <w:p w14:paraId="753626C4">
      <w:pPr>
        <w:pStyle w:val="7"/>
        <w:spacing w:line="240" w:lineRule="auto"/>
        <w:ind w:firstLine="420"/>
      </w:pPr>
      <w:r>
        <w:t>应警告不应将产品有意照射危害距离以内的人眼。</w:t>
      </w:r>
    </w:p>
    <w:p w14:paraId="50768049">
      <w:pPr>
        <w:pStyle w:val="7"/>
        <w:spacing w:line="240" w:lineRule="auto"/>
        <w:ind w:firstLine="420"/>
      </w:pPr>
      <w:r>
        <w:t>应提示清洁、维护过程中</w:t>
      </w:r>
      <w:r>
        <w:rPr>
          <w:rFonts w:hint="eastAsia"/>
          <w:lang w:eastAsia="zh-CN"/>
        </w:rPr>
        <w:t>采取</w:t>
      </w:r>
      <w:r>
        <w:t>防护措施，如防护眼镜等。</w:t>
      </w:r>
    </w:p>
    <w:p w14:paraId="342BF714">
      <w:pPr>
        <w:pStyle w:val="7"/>
        <w:spacing w:line="240" w:lineRule="auto"/>
        <w:ind w:firstLine="420"/>
      </w:pPr>
      <w:r>
        <w:t>非专业人员不可拆卸或维修照相用电子闪光灯高风险级产品的光源部位。</w:t>
      </w:r>
    </w:p>
    <w:p w14:paraId="78A8FACC">
      <w:pPr>
        <w:pStyle w:val="7"/>
        <w:spacing w:line="240" w:lineRule="auto"/>
        <w:ind w:firstLine="420"/>
      </w:pPr>
      <w:r>
        <w:t>应提示操作者参加相关培训。</w:t>
      </w:r>
    </w:p>
    <w:p w14:paraId="196A8EFA">
      <w:pPr>
        <w:pStyle w:val="6"/>
        <w:spacing w:before="240" w:after="240"/>
        <w:rPr>
          <w:szCs w:val="21"/>
        </w:rPr>
      </w:pPr>
      <w:bookmarkStart w:id="97" w:name="_Toc10478809"/>
      <w:bookmarkEnd w:id="97"/>
      <w:bookmarkStart w:id="98" w:name="_Toc10478695"/>
      <w:bookmarkEnd w:id="98"/>
      <w:bookmarkStart w:id="99" w:name="_Toc13670"/>
      <w:bookmarkEnd w:id="99"/>
      <w:bookmarkStart w:id="100" w:name="_Toc20026"/>
      <w:bookmarkEnd w:id="100"/>
      <w:bookmarkStart w:id="101" w:name="_Toc10478765"/>
      <w:bookmarkStart w:id="102" w:name="_Toc238641370"/>
      <w:bookmarkStart w:id="103" w:name="_Toc18289"/>
      <w:bookmarkStart w:id="104" w:name="_Toc17888"/>
      <w:r>
        <w:rPr>
          <w:rFonts w:hint="eastAsia"/>
          <w:szCs w:val="21"/>
          <w:lang w:val="en-US" w:eastAsia="zh-CN"/>
        </w:rPr>
        <w:t>光辐射安全风险</w:t>
      </w:r>
      <w:r>
        <w:rPr>
          <w:szCs w:val="21"/>
        </w:rPr>
        <w:t>评</w:t>
      </w:r>
      <w:bookmarkEnd w:id="101"/>
      <w:r>
        <w:rPr>
          <w:szCs w:val="21"/>
        </w:rPr>
        <w:t>估</w:t>
      </w:r>
      <w:bookmarkEnd w:id="102"/>
      <w:bookmarkEnd w:id="103"/>
      <w:bookmarkEnd w:id="104"/>
    </w:p>
    <w:p w14:paraId="338DBF1E">
      <w:pPr>
        <w:pStyle w:val="3"/>
        <w:rPr>
          <w:rFonts w:hint="default" w:ascii="黑体" w:hAnsi="黑体" w:eastAsia="黑体"/>
        </w:rPr>
      </w:pPr>
      <w:bookmarkStart w:id="105" w:name="_Toc13367"/>
      <w:bookmarkEnd w:id="105"/>
      <w:bookmarkStart w:id="106" w:name="_Toc26583"/>
      <w:bookmarkEnd w:id="106"/>
      <w:bookmarkStart w:id="107" w:name="_Toc8446"/>
      <w:bookmarkEnd w:id="107"/>
      <w:bookmarkStart w:id="108" w:name="_Toc23794"/>
      <w:bookmarkStart w:id="109" w:name="_Toc11393"/>
      <w:r>
        <w:rPr>
          <w:rFonts w:ascii="黑体" w:hAnsi="黑体" w:eastAsia="黑体"/>
        </w:rPr>
        <w:t>检验规则</w:t>
      </w:r>
      <w:bookmarkEnd w:id="108"/>
      <w:bookmarkEnd w:id="109"/>
    </w:p>
    <w:p w14:paraId="2B3661C6">
      <w:pPr>
        <w:pStyle w:val="7"/>
        <w:ind w:firstLine="420"/>
      </w:pPr>
      <w:r>
        <w:t>照相用电子闪光灯的风险评定首先应确定照相用闪光灯预期使用的模式，同时应充分考虑产品在开放型空间使用时，有效的工作距离是完成摄影必要条件，而光束传输至被摄体时，被摄体可能包含人眼。</w:t>
      </w:r>
    </w:p>
    <w:p w14:paraId="62F5C7BF">
      <w:pPr>
        <w:pStyle w:val="7"/>
        <w:ind w:left="0" w:leftChars="0" w:firstLine="420" w:firstLineChars="200"/>
      </w:pPr>
      <w:r>
        <w:rPr>
          <w:rFonts w:hint="eastAsia"/>
          <w:lang w:val="en-US" w:eastAsia="zh-CN"/>
        </w:rPr>
        <w:t>a)</w:t>
      </w:r>
      <w:r>
        <w:t>基于测量判定的评估过程（在正常工作期间的最大辐射输出条件下进行</w:t>
      </w:r>
      <w:r>
        <w:rPr>
          <w:rFonts w:hint="eastAsia"/>
          <w:lang w:val="en-US" w:eastAsia="zh-CN"/>
        </w:rPr>
        <w:t>测量</w:t>
      </w:r>
      <w:r>
        <w:t>）应在用户能够设置的最大辐射输出模式下进行，</w:t>
      </w:r>
      <w:r>
        <w:rPr>
          <w:rFonts w:hint="eastAsia"/>
          <w:lang w:val="en-US" w:eastAsia="zh-CN"/>
        </w:rPr>
        <w:t>评估</w:t>
      </w:r>
      <w:r>
        <w:t>该模式下的最大可达发射；并考虑单一故障条件下的可达发射状态，如闪光灯在单一故障条件下无法发光和正常使用则不需要</w:t>
      </w:r>
      <w:r>
        <w:rPr>
          <w:rFonts w:hint="eastAsia"/>
          <w:lang w:val="en-US" w:eastAsia="zh-CN"/>
        </w:rPr>
        <w:t>测量</w:t>
      </w:r>
      <w:r>
        <w:t>单一故障条件状态。</w:t>
      </w:r>
    </w:p>
    <w:p w14:paraId="49215F5F">
      <w:pPr>
        <w:pStyle w:val="7"/>
        <w:ind w:left="0" w:leftChars="0" w:firstLine="420" w:firstLineChars="200"/>
      </w:pPr>
      <w:r>
        <w:rPr>
          <w:rFonts w:hint="eastAsia"/>
          <w:lang w:val="en-US" w:eastAsia="zh-CN"/>
        </w:rPr>
        <w:t>b)</w:t>
      </w:r>
      <w:r>
        <w:t>充电类产品需根据制造商推荐的连接外部电源或使用电池保证被</w:t>
      </w:r>
      <w:r>
        <w:rPr>
          <w:rFonts w:hint="eastAsia"/>
          <w:lang w:val="en-US" w:eastAsia="zh-CN"/>
        </w:rPr>
        <w:t>测试</w:t>
      </w:r>
      <w:r>
        <w:t>设备在最大辐射输出条件下进行</w:t>
      </w:r>
      <w:r>
        <w:rPr>
          <w:rFonts w:hint="eastAsia"/>
          <w:lang w:val="en-US" w:eastAsia="zh-CN"/>
        </w:rPr>
        <w:t>测量</w:t>
      </w:r>
      <w:r>
        <w:t>，到最大可达发射水平。</w:t>
      </w:r>
    </w:p>
    <w:p w14:paraId="6B32763E">
      <w:pPr>
        <w:pStyle w:val="7"/>
        <w:ind w:left="0" w:leftChars="0" w:firstLine="420" w:firstLineChars="200"/>
      </w:pPr>
      <w:r>
        <w:rPr>
          <w:rFonts w:hint="eastAsia"/>
          <w:lang w:val="en-US" w:eastAsia="zh-CN"/>
        </w:rPr>
        <w:t>c)</w:t>
      </w:r>
      <w:r>
        <w:t>采用白光LED或氙灯光源的照相用电子闪光灯，只需评估视网膜蓝光危害、视网膜蓝光（小光源）危害和视网膜热危害。</w:t>
      </w:r>
    </w:p>
    <w:p w14:paraId="4DD24A7C">
      <w:pPr>
        <w:spacing w:line="240" w:lineRule="auto"/>
        <w:ind w:firstLine="420"/>
        <w:rPr>
          <w:rFonts w:hint="eastAsia" w:hAnsi="黑体"/>
          <w:szCs w:val="22"/>
        </w:rPr>
      </w:pPr>
      <w:r>
        <w:rPr>
          <w:rFonts w:hint="eastAsia"/>
          <w:lang w:val="en-US" w:eastAsia="zh-CN"/>
        </w:rPr>
        <w:t>d)闪光灯使用说明书明示的距离内，由制造商提出能量最大的点，最大点作为</w:t>
      </w:r>
      <w:r>
        <w:rPr>
          <w:rFonts w:hint="eastAsia"/>
        </w:rPr>
        <w:t>评估距离</w:t>
      </w:r>
      <w:r>
        <w:rPr>
          <w:rFonts w:hint="eastAsia"/>
          <w:lang w:eastAsia="zh-CN"/>
        </w:rPr>
        <w:t>，</w:t>
      </w:r>
      <w:r>
        <w:rPr>
          <w:rFonts w:hint="eastAsia"/>
        </w:rPr>
        <w:t>且最小评估距离不低于200mm。</w:t>
      </w:r>
    </w:p>
    <w:p w14:paraId="6730E235">
      <w:pPr>
        <w:pStyle w:val="7"/>
        <w:ind w:left="0" w:leftChars="0" w:firstLine="420" w:firstLineChars="200"/>
      </w:pPr>
      <w:bookmarkStart w:id="110" w:name="_Toc8324"/>
      <w:bookmarkEnd w:id="110"/>
      <w:bookmarkStart w:id="111" w:name="_Toc202520434"/>
      <w:bookmarkEnd w:id="111"/>
    </w:p>
    <w:p w14:paraId="34E80B5A">
      <w:pPr>
        <w:pStyle w:val="3"/>
        <w:rPr>
          <w:rFonts w:ascii="黑体" w:hAnsi="黑体" w:eastAsia="黑体"/>
        </w:rPr>
      </w:pPr>
      <w:bookmarkStart w:id="112" w:name="_Toc28626"/>
      <w:r>
        <w:rPr>
          <w:rFonts w:ascii="黑体" w:hAnsi="黑体" w:eastAsia="黑体"/>
        </w:rPr>
        <w:t>基于测量的判定</w:t>
      </w:r>
      <w:bookmarkEnd w:id="112"/>
    </w:p>
    <w:p w14:paraId="1B4F059F">
      <w:pPr>
        <w:pStyle w:val="7"/>
        <w:ind w:left="0" w:leftChars="0" w:firstLine="0" w:firstLineChars="0"/>
        <w:rPr>
          <w:rFonts w:ascii="宋体" w:eastAsia="宋体" w:cs="Times New Roman"/>
        </w:rPr>
      </w:pPr>
      <w:r>
        <w:rPr>
          <w:rFonts w:hint="eastAsia" w:ascii="黑体" w:hAnsi="黑体" w:eastAsia="黑体" w:cs="Times New Roman"/>
          <w:sz w:val="21"/>
          <w:lang w:val="en-US" w:eastAsia="zh-CN" w:bidi="ar-SA"/>
        </w:rPr>
        <w:t>6.2.1</w:t>
      </w:r>
      <w:r>
        <w:rPr>
          <w:rFonts w:hint="eastAsia"/>
          <w:lang w:val="en-US" w:eastAsia="zh-CN"/>
        </w:rPr>
        <w:t xml:space="preserve"> </w:t>
      </w:r>
      <w:r>
        <w:t>根据GB/T 30117.1-2024测量并确定判定产品的</w:t>
      </w:r>
      <w:r>
        <w:rPr>
          <w:rFonts w:hint="eastAsia"/>
          <w:lang w:val="en-US" w:eastAsia="zh-CN"/>
        </w:rPr>
        <w:t>风险类别</w:t>
      </w:r>
      <w:r>
        <w:rPr>
          <w:rFonts w:hint="eastAsia" w:ascii="宋体" w:eastAsia="宋体" w:cs="Times New Roman"/>
          <w:lang w:eastAsia="zh-CN"/>
        </w:rPr>
        <w:t>。</w:t>
      </w:r>
      <w:r>
        <w:rPr>
          <w:rFonts w:ascii="宋体" w:eastAsia="宋体" w:cs="Times New Roman"/>
        </w:rPr>
        <w:t>连续光辐射对应的各类危害的可达发射限值应符合表3的规定。</w:t>
      </w:r>
    </w:p>
    <w:p w14:paraId="6EE627B5">
      <w:pPr>
        <w:pStyle w:val="7"/>
        <w:ind w:firstLine="420"/>
        <w:jc w:val="center"/>
        <w:rPr>
          <w:rFonts w:ascii="黑体" w:hAnsi="黑体" w:eastAsia="黑体"/>
        </w:rPr>
      </w:pPr>
      <w:r>
        <w:rPr>
          <w:rFonts w:ascii="黑体" w:hAnsi="黑体" w:eastAsia="黑体"/>
        </w:rPr>
        <w:t>表 3  照相用电子闪光灯产品连续光辐射风险类别的可达发射限值</w:t>
      </w:r>
    </w:p>
    <w:tbl>
      <w:tblPr>
        <w:tblStyle w:val="31"/>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314"/>
        <w:gridCol w:w="1126"/>
        <w:gridCol w:w="1222"/>
        <w:gridCol w:w="906"/>
        <w:gridCol w:w="1027"/>
        <w:gridCol w:w="1050"/>
        <w:gridCol w:w="1030"/>
        <w:gridCol w:w="1895"/>
      </w:tblGrid>
      <w:tr w14:paraId="12484D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4" w:hRule="atLeast"/>
        </w:trPr>
        <w:tc>
          <w:tcPr>
            <w:tcW w:w="1282" w:type="pct"/>
            <w:gridSpan w:val="2"/>
            <w:vMerge w:val="restart"/>
            <w:tcBorders>
              <w:top w:val="single" w:color="000000" w:sz="4" w:space="0"/>
              <w:left w:val="single" w:color="000000" w:sz="4" w:space="0"/>
              <w:bottom w:val="nil"/>
              <w:right w:val="single" w:color="000000" w:sz="4" w:space="0"/>
            </w:tcBorders>
            <w:noWrap w:val="0"/>
            <w:vAlign w:val="center"/>
          </w:tcPr>
          <w:p w14:paraId="665A3922">
            <w:pPr>
              <w:pStyle w:val="7"/>
              <w:ind w:firstLine="360"/>
              <w:rPr>
                <w:rFonts w:hint="eastAsia" w:hAnsi="宋体"/>
                <w:sz w:val="18"/>
                <w:szCs w:val="18"/>
              </w:rPr>
            </w:pPr>
            <w:r>
              <w:rPr>
                <w:rFonts w:hAnsi="宋体"/>
                <w:sz w:val="18"/>
                <w:szCs w:val="18"/>
              </w:rPr>
              <w:t>危害名称</w:t>
            </w:r>
          </w:p>
        </w:tc>
        <w:tc>
          <w:tcPr>
            <w:tcW w:w="642" w:type="pct"/>
            <w:vMerge w:val="restart"/>
            <w:tcBorders>
              <w:top w:val="single" w:color="000000" w:sz="4" w:space="0"/>
              <w:left w:val="single" w:color="000000" w:sz="4" w:space="0"/>
              <w:bottom w:val="nil"/>
              <w:right w:val="single" w:color="000000" w:sz="4" w:space="0"/>
            </w:tcBorders>
            <w:noWrap w:val="0"/>
            <w:vAlign w:val="center"/>
          </w:tcPr>
          <w:p w14:paraId="18D253EA">
            <w:pPr>
              <w:pStyle w:val="7"/>
              <w:ind w:firstLine="0" w:firstLineChars="0"/>
              <w:rPr>
                <w:rFonts w:hint="eastAsia" w:hAnsi="宋体"/>
                <w:sz w:val="18"/>
                <w:szCs w:val="18"/>
              </w:rPr>
            </w:pPr>
            <w:r>
              <w:rPr>
                <w:rFonts w:hAnsi="宋体"/>
                <w:sz w:val="18"/>
                <w:szCs w:val="18"/>
              </w:rPr>
              <w:t>波长范围</w:t>
            </w:r>
          </w:p>
          <w:p w14:paraId="4CF59FC0">
            <w:pPr>
              <w:pStyle w:val="7"/>
              <w:ind w:firstLine="360"/>
              <w:rPr>
                <w:rFonts w:hint="eastAsia" w:hAnsi="宋体"/>
                <w:sz w:val="18"/>
                <w:szCs w:val="18"/>
              </w:rPr>
            </w:pPr>
            <w:r>
              <w:rPr>
                <w:rFonts w:hAnsi="宋体"/>
                <w:sz w:val="18"/>
                <w:szCs w:val="18"/>
              </w:rPr>
              <w:t>nm</w:t>
            </w:r>
          </w:p>
        </w:tc>
        <w:tc>
          <w:tcPr>
            <w:tcW w:w="449" w:type="pct"/>
            <w:vMerge w:val="restart"/>
            <w:tcBorders>
              <w:top w:val="single" w:color="000000" w:sz="4" w:space="0"/>
              <w:left w:val="single" w:color="000000" w:sz="4" w:space="0"/>
              <w:bottom w:val="nil"/>
              <w:right w:val="single" w:color="000000" w:sz="4" w:space="0"/>
            </w:tcBorders>
            <w:noWrap w:val="0"/>
            <w:vAlign w:val="center"/>
          </w:tcPr>
          <w:p w14:paraId="1A0AD073">
            <w:pPr>
              <w:pStyle w:val="7"/>
              <w:ind w:firstLine="0" w:firstLineChars="0"/>
              <w:jc w:val="center"/>
              <w:rPr>
                <w:rFonts w:hint="eastAsia" w:hAnsi="宋体"/>
                <w:sz w:val="18"/>
                <w:szCs w:val="18"/>
              </w:rPr>
            </w:pPr>
            <w:r>
              <w:rPr>
                <w:rFonts w:hAnsi="宋体"/>
                <w:sz w:val="18"/>
                <w:szCs w:val="18"/>
              </w:rPr>
              <w:t>符号</w:t>
            </w:r>
          </w:p>
        </w:tc>
        <w:tc>
          <w:tcPr>
            <w:tcW w:w="1634" w:type="pct"/>
            <w:gridSpan w:val="3"/>
            <w:tcBorders>
              <w:top w:val="single" w:color="000000" w:sz="4" w:space="0"/>
              <w:left w:val="single" w:color="000000" w:sz="4" w:space="0"/>
              <w:bottom w:val="single" w:color="000000" w:sz="4" w:space="0"/>
              <w:right w:val="single" w:color="000000" w:sz="4" w:space="0"/>
            </w:tcBorders>
            <w:noWrap w:val="0"/>
            <w:vAlign w:val="center"/>
          </w:tcPr>
          <w:p w14:paraId="36CE5AD4">
            <w:pPr>
              <w:pStyle w:val="7"/>
              <w:ind w:firstLine="360"/>
              <w:rPr>
                <w:rFonts w:hint="eastAsia" w:hAnsi="宋体"/>
                <w:sz w:val="18"/>
                <w:szCs w:val="18"/>
              </w:rPr>
            </w:pPr>
            <w:r>
              <w:rPr>
                <w:rFonts w:hAnsi="宋体"/>
                <w:sz w:val="18"/>
                <w:szCs w:val="18"/>
              </w:rPr>
              <w:t>可达发射限值</w:t>
            </w:r>
          </w:p>
        </w:tc>
        <w:tc>
          <w:tcPr>
            <w:tcW w:w="990" w:type="pct"/>
            <w:vMerge w:val="restart"/>
            <w:tcBorders>
              <w:top w:val="single" w:color="000000" w:sz="4" w:space="0"/>
              <w:left w:val="single" w:color="000000" w:sz="4" w:space="0"/>
              <w:bottom w:val="nil"/>
              <w:right w:val="single" w:color="000000" w:sz="4" w:space="0"/>
            </w:tcBorders>
            <w:noWrap w:val="0"/>
            <w:vAlign w:val="center"/>
          </w:tcPr>
          <w:p w14:paraId="5399E809">
            <w:pPr>
              <w:pStyle w:val="7"/>
              <w:ind w:firstLine="360"/>
              <w:rPr>
                <w:rFonts w:hint="eastAsia" w:hAnsi="宋体"/>
                <w:sz w:val="18"/>
                <w:szCs w:val="18"/>
              </w:rPr>
            </w:pPr>
            <w:r>
              <w:rPr>
                <w:rFonts w:hAnsi="宋体"/>
                <w:sz w:val="18"/>
                <w:szCs w:val="18"/>
              </w:rPr>
              <w:t>单位</w:t>
            </w:r>
          </w:p>
        </w:tc>
      </w:tr>
      <w:tr w14:paraId="3C945B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9" w:hRule="atLeast"/>
        </w:trPr>
        <w:tc>
          <w:tcPr>
            <w:tcW w:w="1282" w:type="pct"/>
            <w:gridSpan w:val="2"/>
            <w:vMerge w:val="continue"/>
            <w:tcBorders>
              <w:top w:val="single" w:color="000000" w:sz="4" w:space="0"/>
              <w:left w:val="single" w:color="000000" w:sz="4" w:space="0"/>
              <w:bottom w:val="nil"/>
              <w:right w:val="single" w:color="000000" w:sz="4" w:space="0"/>
            </w:tcBorders>
            <w:noWrap w:val="0"/>
            <w:vAlign w:val="center"/>
          </w:tcPr>
          <w:p w14:paraId="32787EE9">
            <w:pPr>
              <w:pStyle w:val="7"/>
              <w:ind w:firstLine="360"/>
              <w:rPr>
                <w:rFonts w:hint="eastAsia" w:hAnsi="宋体"/>
                <w:sz w:val="18"/>
                <w:szCs w:val="18"/>
              </w:rPr>
            </w:pPr>
          </w:p>
        </w:tc>
        <w:tc>
          <w:tcPr>
            <w:tcW w:w="642" w:type="pct"/>
            <w:vMerge w:val="continue"/>
            <w:tcBorders>
              <w:top w:val="single" w:color="000000" w:sz="4" w:space="0"/>
              <w:left w:val="single" w:color="000000" w:sz="4" w:space="0"/>
              <w:bottom w:val="nil"/>
              <w:right w:val="single" w:color="000000" w:sz="4" w:space="0"/>
            </w:tcBorders>
            <w:noWrap w:val="0"/>
            <w:vAlign w:val="center"/>
          </w:tcPr>
          <w:p w14:paraId="511DC00F">
            <w:pPr>
              <w:pStyle w:val="7"/>
              <w:ind w:firstLine="360"/>
              <w:rPr>
                <w:rFonts w:hint="eastAsia" w:hAnsi="宋体"/>
                <w:sz w:val="18"/>
                <w:szCs w:val="18"/>
              </w:rPr>
            </w:pPr>
          </w:p>
        </w:tc>
        <w:tc>
          <w:tcPr>
            <w:tcW w:w="449" w:type="pct"/>
            <w:vMerge w:val="continue"/>
            <w:tcBorders>
              <w:top w:val="single" w:color="000000" w:sz="4" w:space="0"/>
              <w:left w:val="single" w:color="000000" w:sz="4" w:space="0"/>
              <w:bottom w:val="nil"/>
              <w:right w:val="single" w:color="000000" w:sz="4" w:space="0"/>
            </w:tcBorders>
            <w:noWrap w:val="0"/>
            <w:vAlign w:val="center"/>
          </w:tcPr>
          <w:p w14:paraId="7FFD5126">
            <w:pPr>
              <w:pStyle w:val="7"/>
              <w:ind w:firstLine="360"/>
              <w:rPr>
                <w:rFonts w:hint="eastAsia" w:hAnsi="宋体"/>
                <w:sz w:val="18"/>
                <w:szCs w:val="18"/>
              </w:rPr>
            </w:pPr>
          </w:p>
        </w:tc>
        <w:tc>
          <w:tcPr>
            <w:tcW w:w="540" w:type="pct"/>
            <w:tcBorders>
              <w:top w:val="single" w:color="000000" w:sz="4" w:space="0"/>
              <w:left w:val="single" w:color="000000" w:sz="4" w:space="0"/>
              <w:bottom w:val="single" w:color="000000" w:sz="4" w:space="0"/>
              <w:right w:val="single" w:color="000000" w:sz="4" w:space="0"/>
            </w:tcBorders>
            <w:noWrap w:val="0"/>
            <w:vAlign w:val="center"/>
          </w:tcPr>
          <w:p w14:paraId="3B049867">
            <w:pPr>
              <w:pStyle w:val="7"/>
              <w:ind w:firstLine="0" w:firstLineChars="0"/>
              <w:rPr>
                <w:rFonts w:hint="eastAsia" w:hAnsi="宋体"/>
                <w:sz w:val="18"/>
                <w:szCs w:val="18"/>
              </w:rPr>
            </w:pPr>
            <w:r>
              <w:rPr>
                <w:rFonts w:hAnsi="宋体"/>
                <w:sz w:val="18"/>
                <w:szCs w:val="18"/>
              </w:rPr>
              <w:t>免除类</w:t>
            </w:r>
          </w:p>
        </w:tc>
        <w:tc>
          <w:tcPr>
            <w:tcW w:w="551" w:type="pct"/>
            <w:tcBorders>
              <w:top w:val="single" w:color="000000" w:sz="4" w:space="0"/>
              <w:left w:val="single" w:color="000000" w:sz="4" w:space="0"/>
              <w:bottom w:val="single" w:color="000000" w:sz="4" w:space="0"/>
              <w:right w:val="single" w:color="000000" w:sz="4" w:space="0"/>
            </w:tcBorders>
            <w:noWrap w:val="0"/>
            <w:vAlign w:val="center"/>
          </w:tcPr>
          <w:p w14:paraId="00496F43">
            <w:pPr>
              <w:pStyle w:val="7"/>
              <w:ind w:firstLine="0" w:firstLineChars="0"/>
              <w:rPr>
                <w:rFonts w:hint="eastAsia" w:hAnsi="宋体"/>
                <w:sz w:val="18"/>
                <w:szCs w:val="18"/>
              </w:rPr>
            </w:pPr>
            <w:r>
              <w:rPr>
                <w:rFonts w:hAnsi="宋体"/>
                <w:sz w:val="18"/>
                <w:szCs w:val="18"/>
              </w:rPr>
              <w:t>风险1类</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253AC1FC">
            <w:pPr>
              <w:pStyle w:val="7"/>
              <w:ind w:firstLine="0" w:firstLineChars="0"/>
              <w:rPr>
                <w:rFonts w:hint="eastAsia" w:hAnsi="宋体"/>
                <w:sz w:val="18"/>
                <w:szCs w:val="18"/>
              </w:rPr>
            </w:pPr>
            <w:r>
              <w:rPr>
                <w:rFonts w:hAnsi="宋体"/>
                <w:sz w:val="18"/>
                <w:szCs w:val="18"/>
              </w:rPr>
              <w:t>风险2类</w:t>
            </w:r>
          </w:p>
        </w:tc>
        <w:tc>
          <w:tcPr>
            <w:tcW w:w="990" w:type="pct"/>
            <w:vMerge w:val="continue"/>
            <w:tcBorders>
              <w:top w:val="single" w:color="000000" w:sz="4" w:space="0"/>
              <w:left w:val="single" w:color="000000" w:sz="4" w:space="0"/>
              <w:bottom w:val="nil"/>
              <w:right w:val="single" w:color="000000" w:sz="4" w:space="0"/>
            </w:tcBorders>
            <w:noWrap w:val="0"/>
            <w:vAlign w:val="center"/>
          </w:tcPr>
          <w:p w14:paraId="5621DA89">
            <w:pPr>
              <w:pStyle w:val="7"/>
              <w:ind w:firstLine="360"/>
              <w:rPr>
                <w:rFonts w:hint="eastAsia" w:hAnsi="宋体"/>
                <w:sz w:val="18"/>
                <w:szCs w:val="18"/>
              </w:rPr>
            </w:pPr>
          </w:p>
        </w:tc>
      </w:tr>
      <w:tr w14:paraId="37E4EE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0" w:hRule="atLeast"/>
        </w:trPr>
        <w:tc>
          <w:tcPr>
            <w:tcW w:w="690" w:type="pct"/>
            <w:tcBorders>
              <w:top w:val="single" w:color="000000" w:sz="4" w:space="0"/>
              <w:left w:val="single" w:color="000000" w:sz="4" w:space="0"/>
              <w:bottom w:val="nil"/>
              <w:right w:val="single" w:color="000000" w:sz="4" w:space="0"/>
            </w:tcBorders>
            <w:noWrap w:val="0"/>
            <w:vAlign w:val="center"/>
          </w:tcPr>
          <w:p w14:paraId="5CC830E7">
            <w:pPr>
              <w:pStyle w:val="7"/>
              <w:ind w:firstLine="0" w:firstLineChars="0"/>
              <w:jc w:val="left"/>
              <w:rPr>
                <w:rFonts w:hint="eastAsia" w:hAnsi="宋体"/>
                <w:sz w:val="18"/>
                <w:szCs w:val="18"/>
              </w:rPr>
            </w:pPr>
            <w:bookmarkStart w:id="113" w:name="_Hlk237014190"/>
            <w:r>
              <w:rPr>
                <w:rFonts w:hAnsi="宋体"/>
                <w:sz w:val="18"/>
                <w:szCs w:val="18"/>
              </w:rPr>
              <w:t>视网膜蓝光</w:t>
            </w:r>
            <w:bookmarkEnd w:id="113"/>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30C34017">
            <w:pPr>
              <w:pStyle w:val="7"/>
              <w:ind w:firstLine="0" w:firstLineChars="0"/>
              <w:jc w:val="left"/>
              <w:rPr>
                <w:rFonts w:hint="eastAsia" w:hAnsi="宋体"/>
                <w:sz w:val="18"/>
                <w:szCs w:val="18"/>
              </w:rPr>
            </w:pPr>
            <w:r>
              <w:rPr>
                <w:rFonts w:hAnsi="宋体"/>
                <w:sz w:val="18"/>
                <w:szCs w:val="18"/>
              </w:rPr>
              <w:t>非有意观看</w:t>
            </w:r>
          </w:p>
        </w:tc>
        <w:tc>
          <w:tcPr>
            <w:tcW w:w="642" w:type="pct"/>
            <w:tcBorders>
              <w:top w:val="single" w:color="000000" w:sz="4" w:space="0"/>
              <w:left w:val="single" w:color="000000" w:sz="4" w:space="0"/>
              <w:bottom w:val="nil"/>
              <w:right w:val="single" w:color="000000" w:sz="4" w:space="0"/>
            </w:tcBorders>
            <w:noWrap w:val="0"/>
            <w:vAlign w:val="center"/>
          </w:tcPr>
          <w:p w14:paraId="698A95EF">
            <w:pPr>
              <w:pStyle w:val="7"/>
              <w:ind w:firstLine="0" w:firstLineChars="0"/>
              <w:jc w:val="left"/>
              <w:rPr>
                <w:rFonts w:hint="eastAsia" w:hAnsi="宋体"/>
                <w:sz w:val="18"/>
                <w:szCs w:val="18"/>
              </w:rPr>
            </w:pPr>
            <w:r>
              <w:rPr>
                <w:rFonts w:hAnsi="宋体"/>
                <w:sz w:val="18"/>
                <w:szCs w:val="18"/>
              </w:rPr>
              <w:t>300～700</w:t>
            </w:r>
          </w:p>
        </w:tc>
        <w:tc>
          <w:tcPr>
            <w:tcW w:w="449" w:type="pct"/>
            <w:tcBorders>
              <w:top w:val="single" w:color="000000" w:sz="4" w:space="0"/>
              <w:left w:val="single" w:color="000000" w:sz="4" w:space="0"/>
              <w:bottom w:val="nil"/>
              <w:right w:val="single" w:color="000000" w:sz="4" w:space="0"/>
            </w:tcBorders>
            <w:noWrap w:val="0"/>
            <w:vAlign w:val="center"/>
          </w:tcPr>
          <w:p w14:paraId="4F53E73F">
            <w:pPr>
              <w:pStyle w:val="7"/>
              <w:ind w:firstLine="360"/>
              <w:jc w:val="left"/>
              <w:rPr>
                <w:rFonts w:hint="eastAsia" w:hAnsi="宋体"/>
                <w:sz w:val="18"/>
                <w:szCs w:val="18"/>
              </w:rPr>
            </w:pPr>
            <w:bookmarkStart w:id="114" w:name="OLE_LINK3"/>
            <w:r>
              <w:rPr>
                <w:rFonts w:hAnsi="宋体"/>
                <w:i w:val="0"/>
                <w:iCs/>
                <w:sz w:val="18"/>
                <w:szCs w:val="18"/>
                <w:vertAlign w:val="baseline"/>
              </w:rPr>
              <w:t>L</w:t>
            </w:r>
            <w:bookmarkEnd w:id="114"/>
            <w:r>
              <w:rPr>
                <w:rFonts w:hAnsi="宋体"/>
                <w:iCs/>
                <w:sz w:val="18"/>
                <w:szCs w:val="18"/>
                <w:vertAlign w:val="baseline"/>
              </w:rPr>
              <w:t>B</w:t>
            </w:r>
          </w:p>
        </w:tc>
        <w:tc>
          <w:tcPr>
            <w:tcW w:w="540" w:type="pct"/>
            <w:tcBorders>
              <w:top w:val="single" w:color="000000" w:sz="4" w:space="0"/>
              <w:left w:val="single" w:color="000000" w:sz="4" w:space="0"/>
              <w:bottom w:val="single" w:color="000000" w:sz="4" w:space="0"/>
              <w:right w:val="single" w:color="000000" w:sz="4" w:space="0"/>
            </w:tcBorders>
            <w:noWrap w:val="0"/>
            <w:vAlign w:val="center"/>
          </w:tcPr>
          <w:p w14:paraId="198D1FF6">
            <w:pPr>
              <w:pStyle w:val="7"/>
              <w:ind w:firstLine="360"/>
              <w:jc w:val="left"/>
              <w:rPr>
                <w:rFonts w:hint="eastAsia" w:hAnsi="宋体"/>
                <w:sz w:val="18"/>
                <w:szCs w:val="18"/>
              </w:rPr>
            </w:pPr>
            <w:r>
              <w:rPr>
                <w:rFonts w:hAnsi="宋体"/>
                <w:sz w:val="18"/>
                <w:szCs w:val="18"/>
              </w:rPr>
              <w:t>100</w:t>
            </w:r>
          </w:p>
        </w:tc>
        <w:tc>
          <w:tcPr>
            <w:tcW w:w="551" w:type="pct"/>
            <w:tcBorders>
              <w:top w:val="single" w:color="000000" w:sz="4" w:space="0"/>
              <w:left w:val="single" w:color="000000" w:sz="4" w:space="0"/>
              <w:bottom w:val="single" w:color="000000" w:sz="4" w:space="0"/>
              <w:right w:val="single" w:color="000000" w:sz="4" w:space="0"/>
            </w:tcBorders>
            <w:noWrap w:val="0"/>
            <w:vAlign w:val="center"/>
          </w:tcPr>
          <w:p w14:paraId="29D6385A">
            <w:pPr>
              <w:pStyle w:val="7"/>
              <w:ind w:firstLine="0" w:firstLineChars="0"/>
              <w:jc w:val="left"/>
              <w:rPr>
                <w:rFonts w:hint="eastAsia" w:hAnsi="宋体"/>
                <w:sz w:val="18"/>
                <w:szCs w:val="18"/>
              </w:rPr>
            </w:pPr>
            <w:r>
              <w:rPr>
                <w:rFonts w:hAnsi="宋体"/>
                <w:sz w:val="18"/>
                <w:szCs w:val="18"/>
              </w:rPr>
              <w:t>10 000</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3C5D488D">
            <w:pPr>
              <w:pStyle w:val="7"/>
              <w:ind w:firstLine="0" w:firstLineChars="0"/>
              <w:jc w:val="left"/>
              <w:rPr>
                <w:rFonts w:hint="eastAsia" w:hAnsi="宋体"/>
                <w:sz w:val="18"/>
                <w:szCs w:val="18"/>
              </w:rPr>
            </w:pPr>
            <w:r>
              <w:rPr>
                <w:rFonts w:hAnsi="宋体"/>
                <w:sz w:val="18"/>
                <w:szCs w:val="18"/>
              </w:rPr>
              <w:t>4 000 000</w:t>
            </w:r>
          </w:p>
        </w:tc>
        <w:tc>
          <w:tcPr>
            <w:tcW w:w="990" w:type="pct"/>
            <w:tcBorders>
              <w:top w:val="single" w:color="000000" w:sz="4" w:space="0"/>
              <w:left w:val="single" w:color="000000" w:sz="4" w:space="0"/>
              <w:bottom w:val="nil"/>
              <w:right w:val="single" w:color="000000" w:sz="4" w:space="0"/>
            </w:tcBorders>
            <w:noWrap w:val="0"/>
            <w:vAlign w:val="center"/>
          </w:tcPr>
          <w:p w14:paraId="11A8FCC0">
            <w:pPr>
              <w:pStyle w:val="7"/>
              <w:ind w:firstLine="360"/>
              <w:jc w:val="left"/>
              <w:rPr>
                <w:rFonts w:hint="default" w:hAnsi="宋体" w:eastAsia="宋体"/>
                <w:sz w:val="18"/>
                <w:szCs w:val="18"/>
                <w:lang w:val="en-US" w:eastAsia="zh-CN"/>
              </w:rPr>
            </w:pPr>
            <w:r>
              <w:rPr>
                <w:rFonts w:hAnsi="宋体" w:eastAsia="宋体" w:cs="Times New Roman"/>
                <w:sz w:val="18"/>
                <w:szCs w:val="18"/>
              </w:rPr>
              <w:t>W·m</w:t>
            </w:r>
            <w:r>
              <w:rPr>
                <w:rFonts w:hint="eastAsia" w:hAnsi="宋体" w:eastAsia="宋体" w:cs="Times New Roman"/>
                <w:sz w:val="18"/>
                <w:szCs w:val="18"/>
                <w:vertAlign w:val="superscript"/>
                <w:lang w:val="en-US" w:eastAsia="zh-CN"/>
              </w:rPr>
              <w:t>-2</w:t>
            </w:r>
            <w:r>
              <w:rPr>
                <w:rFonts w:hAnsi="宋体" w:eastAsia="宋体" w:cs="Times New Roman"/>
                <w:sz w:val="18"/>
                <w:szCs w:val="18"/>
              </w:rPr>
              <w:t>·sr</w:t>
            </w:r>
            <w:r>
              <w:rPr>
                <w:rFonts w:hint="eastAsia" w:hAnsi="宋体" w:eastAsia="宋体" w:cs="Times New Roman"/>
                <w:sz w:val="18"/>
                <w:szCs w:val="18"/>
                <w:vertAlign w:val="superscript"/>
                <w:lang w:val="en-US" w:eastAsia="zh-CN"/>
              </w:rPr>
              <w:t>-1</w:t>
            </w:r>
          </w:p>
        </w:tc>
      </w:tr>
      <w:tr w14:paraId="46815B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9" w:hRule="atLeast"/>
        </w:trPr>
        <w:tc>
          <w:tcPr>
            <w:tcW w:w="690" w:type="pct"/>
            <w:tcBorders>
              <w:top w:val="single" w:color="000000" w:sz="4" w:space="0"/>
              <w:left w:val="single" w:color="000000" w:sz="4" w:space="0"/>
              <w:bottom w:val="nil"/>
              <w:right w:val="single" w:color="000000" w:sz="4" w:space="0"/>
            </w:tcBorders>
            <w:noWrap w:val="0"/>
            <w:vAlign w:val="center"/>
          </w:tcPr>
          <w:p w14:paraId="05ED7EE3">
            <w:pPr>
              <w:pStyle w:val="7"/>
              <w:ind w:firstLine="0" w:firstLineChars="0"/>
              <w:jc w:val="left"/>
              <w:rPr>
                <w:rFonts w:hint="eastAsia" w:hAnsi="宋体"/>
                <w:sz w:val="18"/>
                <w:szCs w:val="18"/>
              </w:rPr>
            </w:pPr>
            <w:r>
              <w:rPr>
                <w:rFonts w:hAnsi="宋体"/>
                <w:sz w:val="18"/>
                <w:szCs w:val="18"/>
              </w:rPr>
              <w:t>视网膜蓝光</w:t>
            </w:r>
          </w:p>
          <w:p w14:paraId="3F4C3A0E">
            <w:pPr>
              <w:pStyle w:val="7"/>
              <w:ind w:firstLine="0" w:firstLineChars="0"/>
              <w:jc w:val="left"/>
              <w:rPr>
                <w:rFonts w:hint="eastAsia" w:hAnsi="宋体"/>
                <w:sz w:val="18"/>
                <w:szCs w:val="18"/>
              </w:rPr>
            </w:pPr>
            <w:r>
              <w:rPr>
                <w:rFonts w:hint="eastAsia" w:hAnsi="宋体"/>
                <w:sz w:val="18"/>
                <w:szCs w:val="18"/>
                <w:lang w:eastAsia="zh-CN"/>
              </w:rPr>
              <w:t>（</w:t>
            </w:r>
            <w:r>
              <w:rPr>
                <w:rFonts w:hAnsi="宋体"/>
                <w:sz w:val="18"/>
                <w:szCs w:val="18"/>
              </w:rPr>
              <w:t>小光源</w:t>
            </w:r>
            <w:r>
              <w:rPr>
                <w:rFonts w:hint="eastAsia" w:hAnsi="宋体"/>
                <w:sz w:val="18"/>
                <w:szCs w:val="18"/>
                <w:lang w:eastAsia="zh-CN"/>
              </w:rPr>
              <w:t>）</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791939CF">
            <w:pPr>
              <w:pStyle w:val="7"/>
              <w:ind w:firstLine="0" w:firstLineChars="0"/>
              <w:jc w:val="left"/>
              <w:rPr>
                <w:rFonts w:hint="eastAsia" w:hAnsi="宋体"/>
                <w:sz w:val="18"/>
                <w:szCs w:val="18"/>
              </w:rPr>
            </w:pPr>
            <w:r>
              <w:rPr>
                <w:rFonts w:hAnsi="宋体"/>
                <w:sz w:val="18"/>
                <w:szCs w:val="18"/>
              </w:rPr>
              <w:t>非有意观看</w:t>
            </w:r>
          </w:p>
        </w:tc>
        <w:tc>
          <w:tcPr>
            <w:tcW w:w="642" w:type="pct"/>
            <w:tcBorders>
              <w:top w:val="single" w:color="000000" w:sz="4" w:space="0"/>
              <w:left w:val="single" w:color="000000" w:sz="4" w:space="0"/>
              <w:bottom w:val="nil"/>
              <w:right w:val="single" w:color="000000" w:sz="4" w:space="0"/>
            </w:tcBorders>
            <w:noWrap w:val="0"/>
            <w:vAlign w:val="center"/>
          </w:tcPr>
          <w:p w14:paraId="5749CEA8">
            <w:pPr>
              <w:pStyle w:val="7"/>
              <w:ind w:firstLine="0" w:firstLineChars="0"/>
              <w:jc w:val="left"/>
              <w:rPr>
                <w:rFonts w:hint="eastAsia" w:hAnsi="宋体"/>
                <w:sz w:val="18"/>
                <w:szCs w:val="18"/>
              </w:rPr>
            </w:pPr>
            <w:r>
              <w:rPr>
                <w:rFonts w:hAnsi="宋体"/>
                <w:sz w:val="18"/>
                <w:szCs w:val="18"/>
              </w:rPr>
              <w:t>300～700</w:t>
            </w:r>
          </w:p>
        </w:tc>
        <w:tc>
          <w:tcPr>
            <w:tcW w:w="449" w:type="pct"/>
            <w:tcBorders>
              <w:top w:val="single" w:color="000000" w:sz="4" w:space="0"/>
              <w:left w:val="single" w:color="000000" w:sz="4" w:space="0"/>
              <w:bottom w:val="nil"/>
              <w:right w:val="single" w:color="000000" w:sz="4" w:space="0"/>
            </w:tcBorders>
            <w:noWrap w:val="0"/>
            <w:vAlign w:val="center"/>
          </w:tcPr>
          <w:p w14:paraId="57811015">
            <w:pPr>
              <w:pStyle w:val="7"/>
              <w:ind w:firstLine="360"/>
              <w:jc w:val="left"/>
              <w:rPr>
                <w:rFonts w:hint="eastAsia" w:hAnsi="宋体"/>
                <w:sz w:val="18"/>
                <w:szCs w:val="18"/>
              </w:rPr>
            </w:pPr>
            <w:bookmarkStart w:id="115" w:name="OLE_LINK2"/>
            <w:r>
              <w:rPr>
                <w:rFonts w:hAnsi="宋体"/>
                <w:i w:val="0"/>
                <w:iCs/>
                <w:sz w:val="18"/>
                <w:szCs w:val="18"/>
                <w:vertAlign w:val="baseline"/>
              </w:rPr>
              <w:t>E</w:t>
            </w:r>
            <w:bookmarkEnd w:id="115"/>
            <w:r>
              <w:rPr>
                <w:rFonts w:hAnsi="宋体"/>
                <w:iCs/>
                <w:sz w:val="18"/>
                <w:szCs w:val="18"/>
                <w:vertAlign w:val="baseline"/>
              </w:rPr>
              <w:t>B</w:t>
            </w:r>
          </w:p>
        </w:tc>
        <w:tc>
          <w:tcPr>
            <w:tcW w:w="1092" w:type="pct"/>
            <w:gridSpan w:val="2"/>
            <w:tcBorders>
              <w:top w:val="single" w:color="000000" w:sz="4" w:space="0"/>
              <w:left w:val="single" w:color="000000" w:sz="4" w:space="0"/>
              <w:bottom w:val="single" w:color="000000" w:sz="4" w:space="0"/>
              <w:right w:val="single" w:color="000000" w:sz="4" w:space="0"/>
            </w:tcBorders>
            <w:noWrap w:val="0"/>
            <w:vAlign w:val="center"/>
          </w:tcPr>
          <w:p w14:paraId="47E742A7">
            <w:pPr>
              <w:pStyle w:val="7"/>
              <w:ind w:firstLine="360"/>
              <w:jc w:val="left"/>
              <w:rPr>
                <w:rFonts w:hint="eastAsia" w:hAnsi="宋体" w:eastAsia="宋体"/>
                <w:sz w:val="18"/>
                <w:szCs w:val="18"/>
                <w:lang w:eastAsia="zh-CN"/>
              </w:rPr>
            </w:pPr>
            <w:r>
              <w:rPr>
                <w:rFonts w:hAnsi="宋体"/>
                <w:sz w:val="18"/>
                <w:szCs w:val="18"/>
              </w:rPr>
              <w:t>1.0</w:t>
            </w:r>
            <w:r>
              <w:rPr>
                <w:rFonts w:hint="eastAsia" w:hAnsi="宋体"/>
                <w:sz w:val="18"/>
                <w:szCs w:val="18"/>
                <w:vertAlign w:val="superscript"/>
                <w:lang w:val="en-US" w:eastAsia="zh-CN"/>
              </w:rPr>
              <w:t>a</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394621EA">
            <w:pPr>
              <w:pStyle w:val="7"/>
              <w:ind w:firstLine="360"/>
              <w:jc w:val="left"/>
              <w:rPr>
                <w:rFonts w:hint="eastAsia" w:hAnsi="宋体"/>
                <w:sz w:val="18"/>
                <w:szCs w:val="18"/>
              </w:rPr>
            </w:pPr>
            <w:r>
              <w:rPr>
                <w:rFonts w:hAnsi="宋体"/>
                <w:sz w:val="18"/>
                <w:szCs w:val="18"/>
              </w:rPr>
              <w:t>400</w:t>
            </w:r>
          </w:p>
        </w:tc>
        <w:tc>
          <w:tcPr>
            <w:tcW w:w="990" w:type="pct"/>
            <w:tcBorders>
              <w:top w:val="single" w:color="000000" w:sz="4" w:space="0"/>
              <w:left w:val="single" w:color="000000" w:sz="4" w:space="0"/>
              <w:bottom w:val="nil"/>
              <w:right w:val="single" w:color="000000" w:sz="4" w:space="0"/>
            </w:tcBorders>
            <w:noWrap w:val="0"/>
            <w:vAlign w:val="center"/>
          </w:tcPr>
          <w:p w14:paraId="26B93179">
            <w:pPr>
              <w:pStyle w:val="7"/>
              <w:ind w:firstLine="360"/>
              <w:jc w:val="left"/>
              <w:rPr>
                <w:rFonts w:hint="default" w:hAnsi="宋体" w:eastAsia="宋体"/>
                <w:sz w:val="18"/>
                <w:szCs w:val="18"/>
                <w:lang w:val="en-US" w:eastAsia="zh-CN"/>
              </w:rPr>
            </w:pPr>
            <w:r>
              <w:rPr>
                <w:rFonts w:hAnsi="宋体"/>
                <w:sz w:val="18"/>
                <w:szCs w:val="18"/>
              </w:rPr>
              <w:t>W·m</w:t>
            </w:r>
            <w:r>
              <w:rPr>
                <w:rFonts w:hint="eastAsia" w:hAnsi="宋体"/>
                <w:sz w:val="18"/>
                <w:szCs w:val="18"/>
                <w:vertAlign w:val="superscript"/>
                <w:lang w:val="en-US" w:eastAsia="zh-CN"/>
              </w:rPr>
              <w:t>-2</w:t>
            </w:r>
          </w:p>
        </w:tc>
      </w:tr>
      <w:tr w14:paraId="0AF992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0" w:hRule="atLeast"/>
        </w:trPr>
        <w:tc>
          <w:tcPr>
            <w:tcW w:w="690" w:type="pct"/>
            <w:tcBorders>
              <w:top w:val="single" w:color="000000" w:sz="4" w:space="0"/>
              <w:left w:val="single" w:color="000000" w:sz="4" w:space="0"/>
              <w:bottom w:val="nil"/>
              <w:right w:val="single" w:color="000000" w:sz="4" w:space="0"/>
            </w:tcBorders>
            <w:noWrap w:val="0"/>
            <w:vAlign w:val="center"/>
          </w:tcPr>
          <w:p w14:paraId="5DEFE8FF">
            <w:pPr>
              <w:pStyle w:val="7"/>
              <w:ind w:firstLine="0" w:firstLineChars="0"/>
              <w:jc w:val="left"/>
              <w:rPr>
                <w:rFonts w:hint="eastAsia" w:hAnsi="宋体"/>
                <w:sz w:val="18"/>
                <w:szCs w:val="18"/>
              </w:rPr>
            </w:pPr>
            <w:r>
              <w:rPr>
                <w:rFonts w:hAnsi="宋体"/>
                <w:sz w:val="18"/>
                <w:szCs w:val="18"/>
              </w:rPr>
              <w:t>视网膜热</w:t>
            </w:r>
            <w:r>
              <w:rPr>
                <w:rFonts w:hAnsi="宋体"/>
                <w:sz w:val="18"/>
                <w:szCs w:val="18"/>
                <w:vertAlign w:val="superscript"/>
              </w:rPr>
              <w:t>b</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6B69F86F">
            <w:pPr>
              <w:pStyle w:val="7"/>
              <w:ind w:firstLine="0" w:firstLineChars="0"/>
              <w:jc w:val="left"/>
              <w:rPr>
                <w:rFonts w:hint="eastAsia" w:hAnsi="宋体"/>
                <w:sz w:val="18"/>
                <w:szCs w:val="18"/>
              </w:rPr>
            </w:pPr>
            <w:r>
              <w:rPr>
                <w:rFonts w:hAnsi="宋体"/>
                <w:sz w:val="18"/>
                <w:szCs w:val="18"/>
              </w:rPr>
              <w:t>非有意观看</w:t>
            </w:r>
          </w:p>
        </w:tc>
        <w:tc>
          <w:tcPr>
            <w:tcW w:w="642" w:type="pct"/>
            <w:tcBorders>
              <w:top w:val="single" w:color="000000" w:sz="4" w:space="0"/>
              <w:left w:val="single" w:color="000000" w:sz="4" w:space="0"/>
              <w:bottom w:val="nil"/>
              <w:right w:val="single" w:color="000000" w:sz="4" w:space="0"/>
            </w:tcBorders>
            <w:noWrap w:val="0"/>
            <w:vAlign w:val="center"/>
          </w:tcPr>
          <w:p w14:paraId="15D9AE34">
            <w:pPr>
              <w:pStyle w:val="7"/>
              <w:ind w:firstLine="0" w:firstLineChars="0"/>
              <w:jc w:val="left"/>
              <w:rPr>
                <w:rFonts w:hint="eastAsia" w:hAnsi="宋体"/>
                <w:sz w:val="18"/>
                <w:szCs w:val="18"/>
              </w:rPr>
            </w:pPr>
            <w:r>
              <w:rPr>
                <w:rFonts w:hAnsi="宋体"/>
                <w:sz w:val="18"/>
                <w:szCs w:val="18"/>
              </w:rPr>
              <w:t>380～1 400</w:t>
            </w:r>
          </w:p>
        </w:tc>
        <w:tc>
          <w:tcPr>
            <w:tcW w:w="449" w:type="pct"/>
            <w:tcBorders>
              <w:top w:val="single" w:color="000000" w:sz="4" w:space="0"/>
              <w:left w:val="single" w:color="000000" w:sz="4" w:space="0"/>
              <w:bottom w:val="nil"/>
              <w:right w:val="single" w:color="000000" w:sz="4" w:space="0"/>
            </w:tcBorders>
            <w:noWrap w:val="0"/>
            <w:vAlign w:val="center"/>
          </w:tcPr>
          <w:p w14:paraId="35615459">
            <w:pPr>
              <w:pStyle w:val="7"/>
              <w:ind w:firstLine="360"/>
              <w:jc w:val="left"/>
              <w:rPr>
                <w:rFonts w:hint="eastAsia" w:hAnsi="宋体" w:eastAsia="宋体"/>
                <w:sz w:val="18"/>
                <w:szCs w:val="18"/>
                <w:lang w:eastAsia="zh-CN"/>
              </w:rPr>
            </w:pPr>
            <w:r>
              <w:rPr>
                <w:rFonts w:hAnsi="宋体"/>
                <w:i w:val="0"/>
                <w:iCs/>
                <w:sz w:val="18"/>
                <w:szCs w:val="18"/>
              </w:rPr>
              <w:t>L</w:t>
            </w:r>
            <w:r>
              <w:rPr>
                <w:rFonts w:hint="eastAsia" w:hAnsi="宋体"/>
                <w:sz w:val="18"/>
                <w:szCs w:val="18"/>
                <w:vertAlign w:val="baseline"/>
                <w:lang w:val="en-US" w:eastAsia="zh-CN"/>
              </w:rPr>
              <w:t>g</w:t>
            </w:r>
          </w:p>
        </w:tc>
        <w:tc>
          <w:tcPr>
            <w:tcW w:w="1634" w:type="pct"/>
            <w:gridSpan w:val="3"/>
            <w:tcBorders>
              <w:top w:val="single" w:color="000000" w:sz="4" w:space="0"/>
              <w:left w:val="single" w:color="000000" w:sz="4" w:space="0"/>
              <w:bottom w:val="single" w:color="000000" w:sz="4" w:space="0"/>
              <w:right w:val="single" w:color="000000" w:sz="4" w:space="0"/>
            </w:tcBorders>
            <w:noWrap w:val="0"/>
            <w:vAlign w:val="center"/>
          </w:tcPr>
          <w:p w14:paraId="56529AD6">
            <w:pPr>
              <w:pStyle w:val="7"/>
              <w:ind w:firstLine="360"/>
              <w:jc w:val="left"/>
              <w:rPr>
                <w:rFonts w:hint="eastAsia" w:hAnsi="宋体"/>
                <w:sz w:val="18"/>
                <w:szCs w:val="18"/>
              </w:rPr>
            </w:pPr>
            <w:r>
              <w:rPr>
                <w:rFonts w:hAnsi="宋体"/>
                <w:sz w:val="18"/>
                <w:szCs w:val="18"/>
              </w:rPr>
              <w:t>28 000/α</w:t>
            </w:r>
          </w:p>
        </w:tc>
        <w:tc>
          <w:tcPr>
            <w:tcW w:w="990" w:type="pct"/>
            <w:tcBorders>
              <w:top w:val="single" w:color="000000" w:sz="4" w:space="0"/>
              <w:left w:val="single" w:color="000000" w:sz="4" w:space="0"/>
              <w:bottom w:val="nil"/>
              <w:right w:val="single" w:color="000000" w:sz="4" w:space="0"/>
            </w:tcBorders>
            <w:noWrap w:val="0"/>
            <w:vAlign w:val="center"/>
          </w:tcPr>
          <w:p w14:paraId="7E395FE2">
            <w:pPr>
              <w:pStyle w:val="7"/>
              <w:ind w:firstLine="360"/>
              <w:jc w:val="left"/>
              <w:rPr>
                <w:rFonts w:hint="default" w:hAnsi="宋体" w:eastAsia="宋体"/>
                <w:sz w:val="18"/>
                <w:szCs w:val="18"/>
                <w:lang w:val="en-US" w:eastAsia="zh-CN"/>
              </w:rPr>
            </w:pPr>
            <w:r>
              <w:rPr>
                <w:rFonts w:hAnsi="宋体"/>
                <w:sz w:val="18"/>
                <w:szCs w:val="18"/>
              </w:rPr>
              <w:t>W·m</w:t>
            </w:r>
            <w:r>
              <w:rPr>
                <w:rFonts w:hint="eastAsia" w:ascii="宋体" w:hAnsi="宋体" w:eastAsia="宋体" w:cs="宋体"/>
                <w:sz w:val="18"/>
                <w:szCs w:val="18"/>
                <w:vertAlign w:val="superscript"/>
                <w:lang w:val="en-US" w:eastAsia="zh-CN"/>
              </w:rPr>
              <w:t>-2</w:t>
            </w:r>
            <w:r>
              <w:rPr>
                <w:rFonts w:hint="eastAsia" w:hAnsi="宋体" w:cs="宋体"/>
                <w:sz w:val="18"/>
                <w:szCs w:val="18"/>
              </w:rPr>
              <w:t>·</w:t>
            </w:r>
            <w:r>
              <w:rPr>
                <w:rFonts w:hAnsi="宋体"/>
                <w:sz w:val="18"/>
                <w:szCs w:val="18"/>
              </w:rPr>
              <w:t>sr</w:t>
            </w:r>
            <w:r>
              <w:rPr>
                <w:rFonts w:hint="eastAsia" w:ascii="宋体" w:hAnsi="宋体" w:eastAsia="宋体" w:cs="宋体"/>
                <w:sz w:val="18"/>
                <w:szCs w:val="18"/>
                <w:vertAlign w:val="superscript"/>
                <w:lang w:val="en-US" w:eastAsia="zh-CN"/>
              </w:rPr>
              <w:t>-1</w:t>
            </w:r>
          </w:p>
        </w:tc>
      </w:tr>
      <w:tr w14:paraId="7FD98D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9" w:hRule="atLeast"/>
        </w:trPr>
        <w:tc>
          <w:tcPr>
            <w:tcW w:w="690" w:type="pct"/>
            <w:tcBorders>
              <w:top w:val="single" w:color="000000" w:sz="4" w:space="0"/>
              <w:left w:val="single" w:color="000000" w:sz="4" w:space="0"/>
              <w:bottom w:val="nil"/>
              <w:right w:val="single" w:color="000000" w:sz="4" w:space="0"/>
            </w:tcBorders>
            <w:noWrap w:val="0"/>
            <w:vAlign w:val="center"/>
          </w:tcPr>
          <w:p w14:paraId="7576B0BD">
            <w:pPr>
              <w:pStyle w:val="7"/>
              <w:ind w:firstLine="0" w:firstLineChars="0"/>
              <w:jc w:val="left"/>
              <w:rPr>
                <w:rFonts w:hint="eastAsia" w:hAnsi="宋体"/>
                <w:sz w:val="18"/>
                <w:szCs w:val="18"/>
              </w:rPr>
            </w:pPr>
            <w:r>
              <w:rPr>
                <w:rFonts w:hAnsi="宋体"/>
                <w:sz w:val="18"/>
                <w:szCs w:val="18"/>
              </w:rPr>
              <w:t>视网膜热</w:t>
            </w:r>
          </w:p>
          <w:p w14:paraId="0A371C42">
            <w:pPr>
              <w:pStyle w:val="7"/>
              <w:ind w:firstLine="0" w:firstLineChars="0"/>
              <w:jc w:val="left"/>
              <w:rPr>
                <w:rFonts w:hint="default" w:hAnsi="宋体"/>
                <w:sz w:val="18"/>
                <w:szCs w:val="18"/>
                <w:vertAlign w:val="baseline"/>
                <w:lang w:val="en-US"/>
              </w:rPr>
            </w:pPr>
            <w:r>
              <w:rPr>
                <w:rFonts w:hint="eastAsia" w:hAnsi="宋体"/>
                <w:sz w:val="18"/>
                <w:szCs w:val="18"/>
                <w:lang w:eastAsia="zh-CN"/>
              </w:rPr>
              <w:t>（</w:t>
            </w:r>
            <w:r>
              <w:rPr>
                <w:rFonts w:hAnsi="宋体"/>
                <w:sz w:val="18"/>
                <w:szCs w:val="18"/>
              </w:rPr>
              <w:t>弱视刺激</w:t>
            </w:r>
            <w:r>
              <w:rPr>
                <w:rFonts w:hint="eastAsia" w:hAnsi="宋体"/>
                <w:sz w:val="18"/>
                <w:szCs w:val="18"/>
                <w:lang w:eastAsia="zh-CN"/>
              </w:rPr>
              <w:t>）</w:t>
            </w:r>
            <w:r>
              <w:rPr>
                <w:rFonts w:hint="eastAsia" w:hAnsi="宋体"/>
                <w:sz w:val="18"/>
                <w:szCs w:val="18"/>
                <w:vertAlign w:val="superscript"/>
                <w:lang w:val="en-US" w:eastAsia="zh-CN"/>
              </w:rPr>
              <w:t>a</w:t>
            </w:r>
          </w:p>
        </w:tc>
        <w:tc>
          <w:tcPr>
            <w:tcW w:w="592" w:type="pct"/>
            <w:tcBorders>
              <w:top w:val="single" w:color="000000" w:sz="4" w:space="0"/>
              <w:left w:val="single" w:color="000000" w:sz="4" w:space="0"/>
              <w:bottom w:val="single" w:color="000000" w:sz="4" w:space="0"/>
              <w:right w:val="single" w:color="000000" w:sz="4" w:space="0"/>
            </w:tcBorders>
            <w:noWrap w:val="0"/>
            <w:vAlign w:val="center"/>
          </w:tcPr>
          <w:p w14:paraId="79D988EE">
            <w:pPr>
              <w:pStyle w:val="7"/>
              <w:ind w:firstLine="0" w:firstLineChars="0"/>
              <w:jc w:val="left"/>
              <w:rPr>
                <w:rFonts w:hint="eastAsia" w:hAnsi="宋体"/>
                <w:sz w:val="18"/>
                <w:szCs w:val="18"/>
              </w:rPr>
            </w:pPr>
            <w:r>
              <w:rPr>
                <w:rFonts w:hAnsi="宋体"/>
                <w:sz w:val="18"/>
                <w:szCs w:val="18"/>
              </w:rPr>
              <w:t>非有意观看</w:t>
            </w:r>
          </w:p>
        </w:tc>
        <w:tc>
          <w:tcPr>
            <w:tcW w:w="642" w:type="pct"/>
            <w:tcBorders>
              <w:top w:val="single" w:color="000000" w:sz="4" w:space="0"/>
              <w:left w:val="single" w:color="000000" w:sz="4" w:space="0"/>
              <w:bottom w:val="nil"/>
              <w:right w:val="single" w:color="000000" w:sz="4" w:space="0"/>
            </w:tcBorders>
            <w:noWrap w:val="0"/>
            <w:vAlign w:val="center"/>
          </w:tcPr>
          <w:p w14:paraId="1AAD9925">
            <w:pPr>
              <w:pStyle w:val="7"/>
              <w:ind w:firstLine="0" w:firstLineChars="0"/>
              <w:jc w:val="left"/>
              <w:rPr>
                <w:rFonts w:hint="eastAsia" w:hAnsi="宋体"/>
                <w:sz w:val="18"/>
                <w:szCs w:val="18"/>
              </w:rPr>
            </w:pPr>
            <w:r>
              <w:rPr>
                <w:rFonts w:hAnsi="宋体"/>
                <w:sz w:val="18"/>
                <w:szCs w:val="18"/>
              </w:rPr>
              <w:t>780～1 400</w:t>
            </w:r>
          </w:p>
        </w:tc>
        <w:tc>
          <w:tcPr>
            <w:tcW w:w="449" w:type="pct"/>
            <w:tcBorders>
              <w:top w:val="single" w:color="000000" w:sz="4" w:space="0"/>
              <w:left w:val="single" w:color="000000" w:sz="4" w:space="0"/>
              <w:bottom w:val="nil"/>
              <w:right w:val="single" w:color="000000" w:sz="4" w:space="0"/>
            </w:tcBorders>
            <w:noWrap w:val="0"/>
            <w:vAlign w:val="center"/>
          </w:tcPr>
          <w:p w14:paraId="6CCECA83">
            <w:pPr>
              <w:pStyle w:val="7"/>
              <w:ind w:firstLine="360"/>
              <w:jc w:val="left"/>
              <w:rPr>
                <w:rFonts w:hint="default" w:hAnsi="宋体" w:eastAsia="宋体"/>
                <w:sz w:val="18"/>
                <w:szCs w:val="18"/>
                <w:lang w:val="en-US" w:eastAsia="zh-CN"/>
              </w:rPr>
            </w:pPr>
            <w:r>
              <w:rPr>
                <w:rFonts w:hint="eastAsia" w:hAnsi="宋体"/>
                <w:i w:val="0"/>
                <w:iCs w:val="0"/>
                <w:sz w:val="18"/>
                <w:szCs w:val="18"/>
                <w:lang w:val="en-US" w:eastAsia="zh-CN"/>
              </w:rPr>
              <w:t>LR</w:t>
            </w:r>
          </w:p>
        </w:tc>
        <w:tc>
          <w:tcPr>
            <w:tcW w:w="540" w:type="pct"/>
            <w:tcBorders>
              <w:top w:val="single" w:color="000000" w:sz="4" w:space="0"/>
              <w:left w:val="single" w:color="000000" w:sz="4" w:space="0"/>
              <w:bottom w:val="single" w:color="000000" w:sz="4" w:space="0"/>
              <w:right w:val="single" w:color="000000" w:sz="4" w:space="0"/>
            </w:tcBorders>
            <w:noWrap w:val="0"/>
            <w:vAlign w:val="center"/>
          </w:tcPr>
          <w:p w14:paraId="7EE7B022">
            <w:pPr>
              <w:pStyle w:val="7"/>
              <w:ind w:firstLine="0" w:firstLineChars="0"/>
              <w:jc w:val="left"/>
              <w:rPr>
                <w:rFonts w:hint="eastAsia" w:hAnsi="宋体"/>
                <w:sz w:val="18"/>
                <w:szCs w:val="18"/>
              </w:rPr>
            </w:pPr>
            <w:r>
              <w:rPr>
                <w:rFonts w:hAnsi="宋体"/>
                <w:sz w:val="18"/>
                <w:szCs w:val="18"/>
              </w:rPr>
              <w:t>6 300/α</w:t>
            </w:r>
          </w:p>
        </w:tc>
        <w:tc>
          <w:tcPr>
            <w:tcW w:w="1093" w:type="pct"/>
            <w:gridSpan w:val="2"/>
            <w:tcBorders>
              <w:top w:val="single" w:color="000000" w:sz="4" w:space="0"/>
              <w:left w:val="single" w:color="000000" w:sz="4" w:space="0"/>
              <w:bottom w:val="single" w:color="000000" w:sz="4" w:space="0"/>
              <w:right w:val="single" w:color="000000" w:sz="4" w:space="0"/>
            </w:tcBorders>
            <w:noWrap w:val="0"/>
            <w:vAlign w:val="center"/>
          </w:tcPr>
          <w:p w14:paraId="0659BFC4">
            <w:pPr>
              <w:pStyle w:val="7"/>
              <w:ind w:firstLine="360"/>
              <w:jc w:val="left"/>
              <w:rPr>
                <w:rFonts w:hint="eastAsia" w:hAnsi="宋体"/>
                <w:sz w:val="18"/>
                <w:szCs w:val="18"/>
              </w:rPr>
            </w:pPr>
            <w:r>
              <w:rPr>
                <w:rFonts w:hAnsi="宋体"/>
                <w:sz w:val="18"/>
                <w:szCs w:val="18"/>
              </w:rPr>
              <w:t>11 000/α</w:t>
            </w:r>
          </w:p>
        </w:tc>
        <w:tc>
          <w:tcPr>
            <w:tcW w:w="990" w:type="pct"/>
            <w:tcBorders>
              <w:top w:val="single" w:color="000000" w:sz="4" w:space="0"/>
              <w:left w:val="single" w:color="000000" w:sz="4" w:space="0"/>
              <w:bottom w:val="nil"/>
              <w:right w:val="single" w:color="000000" w:sz="4" w:space="0"/>
            </w:tcBorders>
            <w:noWrap w:val="0"/>
            <w:vAlign w:val="center"/>
          </w:tcPr>
          <w:p w14:paraId="00209DFC">
            <w:pPr>
              <w:pStyle w:val="7"/>
              <w:ind w:firstLine="360"/>
              <w:jc w:val="left"/>
              <w:rPr>
                <w:rFonts w:hint="default" w:hAnsi="宋体" w:eastAsia="宋体"/>
                <w:sz w:val="18"/>
                <w:szCs w:val="18"/>
                <w:lang w:val="en-US" w:eastAsia="zh-CN"/>
              </w:rPr>
            </w:pPr>
            <w:r>
              <w:rPr>
                <w:rFonts w:hAnsi="宋体"/>
                <w:sz w:val="18"/>
                <w:szCs w:val="18"/>
              </w:rPr>
              <w:t>W·m</w:t>
            </w:r>
            <w:r>
              <w:rPr>
                <w:rFonts w:hint="eastAsia" w:hAnsi="宋体" w:eastAsia="宋体" w:cs="宋体"/>
                <w:sz w:val="18"/>
                <w:szCs w:val="18"/>
                <w:vertAlign w:val="superscript"/>
                <w:lang w:val="en-US" w:eastAsia="zh-CN"/>
              </w:rPr>
              <w:t>-2</w:t>
            </w:r>
            <w:r>
              <w:rPr>
                <w:rFonts w:hint="eastAsia" w:hAnsi="宋体" w:cs="宋体"/>
                <w:sz w:val="18"/>
                <w:szCs w:val="18"/>
              </w:rPr>
              <w:t>·</w:t>
            </w:r>
            <w:r>
              <w:rPr>
                <w:rFonts w:hAnsi="宋体"/>
                <w:sz w:val="18"/>
                <w:szCs w:val="18"/>
              </w:rPr>
              <w:t>sr</w:t>
            </w:r>
            <w:r>
              <w:rPr>
                <w:rFonts w:hint="eastAsia" w:ascii="宋体" w:hAnsi="宋体" w:eastAsia="宋体" w:cs="宋体"/>
                <w:sz w:val="18"/>
                <w:szCs w:val="18"/>
                <w:vertAlign w:val="superscript"/>
                <w:lang w:val="en-US" w:eastAsia="zh-CN"/>
              </w:rPr>
              <w:t>-1</w:t>
            </w:r>
          </w:p>
        </w:tc>
      </w:tr>
      <w:tr w14:paraId="03A2C2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6" w:hRule="atLeast"/>
        </w:trPr>
        <w:tc>
          <w:tcPr>
            <w:tcW w:w="1282" w:type="pct"/>
            <w:gridSpan w:val="2"/>
            <w:tcBorders>
              <w:top w:val="single" w:color="000000" w:sz="4" w:space="0"/>
              <w:left w:val="single" w:color="000000" w:sz="4" w:space="0"/>
              <w:bottom w:val="single" w:color="000000" w:sz="4" w:space="0"/>
              <w:right w:val="single" w:color="000000" w:sz="4" w:space="0"/>
            </w:tcBorders>
            <w:noWrap w:val="0"/>
            <w:vAlign w:val="center"/>
          </w:tcPr>
          <w:p w14:paraId="374D2A59">
            <w:pPr>
              <w:pStyle w:val="7"/>
              <w:ind w:firstLine="360"/>
              <w:jc w:val="left"/>
              <w:rPr>
                <w:rFonts w:hint="eastAsia" w:hAnsi="宋体"/>
                <w:sz w:val="18"/>
                <w:szCs w:val="18"/>
              </w:rPr>
            </w:pPr>
            <w:r>
              <w:rPr>
                <w:rFonts w:hAnsi="宋体"/>
                <w:sz w:val="18"/>
                <w:szCs w:val="18"/>
              </w:rPr>
              <w:t>角膜/晶状体红外</w:t>
            </w:r>
          </w:p>
        </w:tc>
        <w:tc>
          <w:tcPr>
            <w:tcW w:w="642" w:type="pct"/>
            <w:tcBorders>
              <w:top w:val="single" w:color="000000" w:sz="4" w:space="0"/>
              <w:left w:val="single" w:color="000000" w:sz="4" w:space="0"/>
              <w:bottom w:val="single" w:color="000000" w:sz="4" w:space="0"/>
              <w:right w:val="single" w:color="000000" w:sz="4" w:space="0"/>
            </w:tcBorders>
            <w:noWrap w:val="0"/>
            <w:vAlign w:val="center"/>
          </w:tcPr>
          <w:p w14:paraId="7918EEEA">
            <w:pPr>
              <w:pStyle w:val="7"/>
              <w:ind w:firstLine="0" w:firstLineChars="0"/>
              <w:jc w:val="left"/>
              <w:rPr>
                <w:rFonts w:hint="eastAsia" w:hAnsi="宋体"/>
                <w:sz w:val="18"/>
                <w:szCs w:val="18"/>
              </w:rPr>
            </w:pPr>
            <w:r>
              <w:rPr>
                <w:rFonts w:hAnsi="宋体"/>
                <w:sz w:val="18"/>
                <w:szCs w:val="18"/>
              </w:rPr>
              <w:t>780～3 000</w:t>
            </w:r>
          </w:p>
        </w:tc>
        <w:tc>
          <w:tcPr>
            <w:tcW w:w="449" w:type="pct"/>
            <w:tcBorders>
              <w:top w:val="single" w:color="000000" w:sz="4" w:space="0"/>
              <w:left w:val="single" w:color="000000" w:sz="4" w:space="0"/>
              <w:bottom w:val="single" w:color="000000" w:sz="4" w:space="0"/>
              <w:right w:val="single" w:color="000000" w:sz="4" w:space="0"/>
            </w:tcBorders>
            <w:noWrap w:val="0"/>
            <w:vAlign w:val="center"/>
          </w:tcPr>
          <w:p w14:paraId="7BB8287C">
            <w:pPr>
              <w:pStyle w:val="7"/>
              <w:ind w:firstLine="360"/>
              <w:jc w:val="left"/>
              <w:rPr>
                <w:rFonts w:hint="eastAsia" w:hAnsi="宋体" w:eastAsia="宋体"/>
                <w:sz w:val="18"/>
                <w:szCs w:val="18"/>
                <w:lang w:val="en-US" w:eastAsia="zh-CN"/>
              </w:rPr>
            </w:pPr>
            <w:r>
              <w:rPr>
                <w:rFonts w:hint="eastAsia" w:hAnsi="宋体"/>
                <w:i w:val="0"/>
                <w:iCs/>
                <w:sz w:val="18"/>
                <w:szCs w:val="18"/>
                <w:lang w:val="en-US" w:eastAsia="zh-CN"/>
              </w:rPr>
              <w:t>E</w:t>
            </w:r>
            <w:r>
              <w:rPr>
                <w:rFonts w:hint="eastAsia" w:hAnsi="宋体"/>
                <w:sz w:val="18"/>
                <w:szCs w:val="18"/>
                <w:vertAlign w:val="baseline"/>
                <w:lang w:val="en-US" w:eastAsia="zh-CN"/>
              </w:rPr>
              <w:t>ik</w:t>
            </w:r>
          </w:p>
        </w:tc>
        <w:tc>
          <w:tcPr>
            <w:tcW w:w="540" w:type="pct"/>
            <w:tcBorders>
              <w:top w:val="single" w:color="000000" w:sz="4" w:space="0"/>
              <w:left w:val="single" w:color="000000" w:sz="4" w:space="0"/>
              <w:bottom w:val="single" w:color="000000" w:sz="4" w:space="0"/>
              <w:right w:val="single" w:color="000000" w:sz="4" w:space="0"/>
            </w:tcBorders>
            <w:noWrap w:val="0"/>
            <w:vAlign w:val="center"/>
          </w:tcPr>
          <w:p w14:paraId="10DBDA31">
            <w:pPr>
              <w:pStyle w:val="7"/>
              <w:ind w:firstLine="360"/>
              <w:jc w:val="left"/>
              <w:rPr>
                <w:rFonts w:hint="eastAsia" w:hAnsi="宋体"/>
                <w:sz w:val="18"/>
                <w:szCs w:val="18"/>
              </w:rPr>
            </w:pPr>
            <w:r>
              <w:rPr>
                <w:rFonts w:hAnsi="宋体"/>
                <w:sz w:val="18"/>
                <w:szCs w:val="18"/>
              </w:rPr>
              <w:t>100</w:t>
            </w:r>
          </w:p>
        </w:tc>
        <w:tc>
          <w:tcPr>
            <w:tcW w:w="551" w:type="pct"/>
            <w:tcBorders>
              <w:top w:val="single" w:color="000000" w:sz="4" w:space="0"/>
              <w:left w:val="single" w:color="000000" w:sz="4" w:space="0"/>
              <w:bottom w:val="single" w:color="000000" w:sz="4" w:space="0"/>
              <w:right w:val="single" w:color="000000" w:sz="4" w:space="0"/>
            </w:tcBorders>
            <w:noWrap w:val="0"/>
            <w:vAlign w:val="center"/>
          </w:tcPr>
          <w:p w14:paraId="6C5771FF">
            <w:pPr>
              <w:pStyle w:val="7"/>
              <w:ind w:firstLine="360"/>
              <w:jc w:val="left"/>
              <w:rPr>
                <w:rFonts w:hint="eastAsia" w:hAnsi="宋体"/>
                <w:sz w:val="18"/>
                <w:szCs w:val="18"/>
              </w:rPr>
            </w:pPr>
            <w:r>
              <w:rPr>
                <w:rFonts w:hAnsi="宋体"/>
                <w:sz w:val="18"/>
                <w:szCs w:val="18"/>
              </w:rPr>
              <w:t>570</w:t>
            </w:r>
          </w:p>
        </w:tc>
        <w:tc>
          <w:tcPr>
            <w:tcW w:w="541" w:type="pct"/>
            <w:tcBorders>
              <w:top w:val="single" w:color="000000" w:sz="4" w:space="0"/>
              <w:left w:val="single" w:color="000000" w:sz="4" w:space="0"/>
              <w:bottom w:val="single" w:color="000000" w:sz="4" w:space="0"/>
              <w:right w:val="single" w:color="000000" w:sz="4" w:space="0"/>
            </w:tcBorders>
            <w:noWrap w:val="0"/>
            <w:vAlign w:val="center"/>
          </w:tcPr>
          <w:p w14:paraId="55FAAA16">
            <w:pPr>
              <w:pStyle w:val="7"/>
              <w:ind w:firstLine="360"/>
              <w:jc w:val="left"/>
              <w:rPr>
                <w:rFonts w:hint="eastAsia" w:hAnsi="宋体"/>
                <w:sz w:val="18"/>
                <w:szCs w:val="18"/>
              </w:rPr>
            </w:pPr>
            <w:r>
              <w:rPr>
                <w:rFonts w:hAnsi="宋体"/>
                <w:sz w:val="18"/>
                <w:szCs w:val="18"/>
              </w:rPr>
              <w:t>3 200</w:t>
            </w:r>
          </w:p>
        </w:tc>
        <w:tc>
          <w:tcPr>
            <w:tcW w:w="990" w:type="pct"/>
            <w:tcBorders>
              <w:top w:val="single" w:color="000000" w:sz="4" w:space="0"/>
              <w:left w:val="single" w:color="000000" w:sz="4" w:space="0"/>
              <w:bottom w:val="single" w:color="000000" w:sz="4" w:space="0"/>
              <w:right w:val="single" w:color="000000" w:sz="4" w:space="0"/>
            </w:tcBorders>
            <w:noWrap w:val="0"/>
            <w:vAlign w:val="center"/>
          </w:tcPr>
          <w:p w14:paraId="6D516592">
            <w:pPr>
              <w:pStyle w:val="7"/>
              <w:ind w:firstLine="360"/>
              <w:jc w:val="left"/>
              <w:rPr>
                <w:rFonts w:hint="default" w:hAnsi="宋体" w:eastAsia="宋体"/>
                <w:sz w:val="18"/>
                <w:szCs w:val="18"/>
                <w:lang w:val="en-US" w:eastAsia="zh-CN"/>
              </w:rPr>
            </w:pPr>
            <w:r>
              <w:rPr>
                <w:rFonts w:hAnsi="宋体"/>
                <w:sz w:val="18"/>
                <w:szCs w:val="18"/>
              </w:rPr>
              <w:t>W·m</w:t>
            </w:r>
            <w:r>
              <w:rPr>
                <w:rFonts w:hint="eastAsia" w:ascii="宋体" w:hAnsi="宋体" w:eastAsia="宋体" w:cs="宋体"/>
                <w:sz w:val="18"/>
                <w:szCs w:val="18"/>
                <w:vertAlign w:val="superscript"/>
                <w:lang w:val="en-US" w:eastAsia="zh-CN"/>
              </w:rPr>
              <w:t>-2</w:t>
            </w:r>
          </w:p>
        </w:tc>
      </w:tr>
      <w:tr w14:paraId="7CB082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9" w:hRule="atLeast"/>
        </w:trPr>
        <w:tc>
          <w:tcPr>
            <w:tcW w:w="1282" w:type="pct"/>
            <w:gridSpan w:val="2"/>
            <w:tcBorders>
              <w:top w:val="single" w:color="000000" w:sz="4" w:space="0"/>
              <w:left w:val="single" w:color="000000" w:sz="4" w:space="0"/>
              <w:bottom w:val="single" w:color="000000" w:sz="4" w:space="0"/>
              <w:right w:val="single" w:color="000000" w:sz="4" w:space="0"/>
            </w:tcBorders>
            <w:noWrap w:val="0"/>
            <w:vAlign w:val="center"/>
          </w:tcPr>
          <w:p w14:paraId="71BE25E0">
            <w:pPr>
              <w:pStyle w:val="7"/>
              <w:ind w:firstLine="360"/>
              <w:jc w:val="left"/>
              <w:rPr>
                <w:rFonts w:hint="eastAsia" w:hAnsi="宋体"/>
                <w:sz w:val="18"/>
                <w:szCs w:val="18"/>
              </w:rPr>
            </w:pPr>
            <w:r>
              <w:rPr>
                <w:rFonts w:hAnsi="宋体"/>
                <w:sz w:val="18"/>
                <w:szCs w:val="18"/>
              </w:rPr>
              <w:t>皮肤辐射热</w:t>
            </w:r>
          </w:p>
        </w:tc>
        <w:tc>
          <w:tcPr>
            <w:tcW w:w="642" w:type="pct"/>
            <w:tcBorders>
              <w:top w:val="single" w:color="000000" w:sz="4" w:space="0"/>
              <w:left w:val="single" w:color="000000" w:sz="4" w:space="0"/>
              <w:bottom w:val="single" w:color="000000" w:sz="4" w:space="0"/>
              <w:right w:val="single" w:color="000000" w:sz="4" w:space="0"/>
            </w:tcBorders>
            <w:noWrap w:val="0"/>
            <w:vAlign w:val="center"/>
          </w:tcPr>
          <w:p w14:paraId="7A38BF34">
            <w:pPr>
              <w:pStyle w:val="7"/>
              <w:ind w:firstLine="0" w:firstLineChars="0"/>
              <w:jc w:val="left"/>
              <w:rPr>
                <w:rFonts w:hint="eastAsia" w:hAnsi="宋体"/>
                <w:sz w:val="18"/>
                <w:szCs w:val="18"/>
              </w:rPr>
            </w:pPr>
            <w:r>
              <w:rPr>
                <w:rFonts w:hAnsi="宋体"/>
                <w:sz w:val="18"/>
                <w:szCs w:val="18"/>
              </w:rPr>
              <w:t>380～3 000</w:t>
            </w:r>
          </w:p>
        </w:tc>
        <w:tc>
          <w:tcPr>
            <w:tcW w:w="449" w:type="pct"/>
            <w:tcBorders>
              <w:top w:val="single" w:color="000000" w:sz="4" w:space="0"/>
              <w:left w:val="single" w:color="000000" w:sz="4" w:space="0"/>
              <w:bottom w:val="single" w:color="000000" w:sz="4" w:space="0"/>
              <w:right w:val="single" w:color="000000" w:sz="4" w:space="0"/>
            </w:tcBorders>
            <w:noWrap w:val="0"/>
            <w:vAlign w:val="center"/>
          </w:tcPr>
          <w:p w14:paraId="0A9F8980">
            <w:pPr>
              <w:pStyle w:val="7"/>
              <w:ind w:firstLine="360"/>
              <w:jc w:val="left"/>
              <w:rPr>
                <w:rFonts w:hint="eastAsia" w:hAnsi="宋体" w:eastAsia="宋体"/>
                <w:sz w:val="18"/>
                <w:szCs w:val="18"/>
                <w:lang w:val="en-US" w:eastAsia="zh-CN"/>
              </w:rPr>
            </w:pPr>
            <w:r>
              <w:rPr>
                <w:rFonts w:hAnsi="宋体"/>
                <w:i w:val="0"/>
                <w:iCs/>
                <w:sz w:val="18"/>
                <w:szCs w:val="18"/>
              </w:rPr>
              <w:t>E</w:t>
            </w:r>
            <w:r>
              <w:rPr>
                <w:rFonts w:hint="eastAsia" w:hAnsi="宋体"/>
                <w:i/>
                <w:sz w:val="18"/>
                <w:szCs w:val="18"/>
                <w:lang w:val="en-US" w:eastAsia="zh-CN"/>
              </w:rPr>
              <w:t>a</w:t>
            </w:r>
          </w:p>
        </w:tc>
        <w:tc>
          <w:tcPr>
            <w:tcW w:w="1634" w:type="pct"/>
            <w:gridSpan w:val="3"/>
            <w:tcBorders>
              <w:top w:val="single" w:color="000000" w:sz="4" w:space="0"/>
              <w:left w:val="single" w:color="000000" w:sz="4" w:space="0"/>
              <w:bottom w:val="single" w:color="000000" w:sz="4" w:space="0"/>
              <w:right w:val="single" w:color="000000" w:sz="4" w:space="0"/>
            </w:tcBorders>
            <w:noWrap w:val="0"/>
            <w:vAlign w:val="center"/>
          </w:tcPr>
          <w:p w14:paraId="02C11ECF">
            <w:pPr>
              <w:pStyle w:val="7"/>
              <w:ind w:firstLine="360"/>
              <w:jc w:val="left"/>
              <w:rPr>
                <w:rFonts w:hint="eastAsia" w:hAnsi="宋体"/>
                <w:sz w:val="18"/>
                <w:szCs w:val="18"/>
              </w:rPr>
            </w:pPr>
            <w:r>
              <w:rPr>
                <w:rFonts w:hAnsi="宋体"/>
                <w:sz w:val="18"/>
                <w:szCs w:val="18"/>
              </w:rPr>
              <w:t>3 500</w:t>
            </w:r>
          </w:p>
        </w:tc>
        <w:tc>
          <w:tcPr>
            <w:tcW w:w="990" w:type="pct"/>
            <w:tcBorders>
              <w:top w:val="single" w:color="000000" w:sz="4" w:space="0"/>
              <w:left w:val="single" w:color="000000" w:sz="4" w:space="0"/>
              <w:bottom w:val="single" w:color="000000" w:sz="4" w:space="0"/>
              <w:right w:val="single" w:color="000000" w:sz="4" w:space="0"/>
            </w:tcBorders>
            <w:noWrap w:val="0"/>
            <w:vAlign w:val="center"/>
          </w:tcPr>
          <w:p w14:paraId="74089532">
            <w:pPr>
              <w:pStyle w:val="7"/>
              <w:ind w:firstLine="360"/>
              <w:jc w:val="left"/>
              <w:rPr>
                <w:rFonts w:hint="default" w:hAnsi="宋体" w:eastAsia="宋体"/>
                <w:sz w:val="18"/>
                <w:szCs w:val="18"/>
                <w:lang w:val="en-US" w:eastAsia="zh-CN"/>
              </w:rPr>
            </w:pPr>
            <w:r>
              <w:rPr>
                <w:rFonts w:hAnsi="宋体"/>
                <w:sz w:val="18"/>
                <w:szCs w:val="18"/>
              </w:rPr>
              <w:t>W·m</w:t>
            </w:r>
            <w:r>
              <w:rPr>
                <w:rFonts w:hint="eastAsia" w:ascii="宋体" w:hAnsi="宋体" w:eastAsia="宋体" w:cs="宋体"/>
                <w:sz w:val="18"/>
                <w:szCs w:val="18"/>
                <w:vertAlign w:val="superscript"/>
                <w:lang w:val="en-US" w:eastAsia="zh-CN"/>
              </w:rPr>
              <w:t>-2</w:t>
            </w:r>
          </w:p>
        </w:tc>
      </w:tr>
      <w:tr w14:paraId="7ED41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trPr>
        <w:tc>
          <w:tcPr>
            <w:tcW w:w="5000" w:type="pct"/>
            <w:gridSpan w:val="8"/>
            <w:tcBorders>
              <w:top w:val="single" w:color="000000" w:sz="4" w:space="0"/>
              <w:left w:val="single" w:color="000000" w:sz="4" w:space="0"/>
              <w:bottom w:val="single" w:color="000000" w:sz="4" w:space="0"/>
              <w:right w:val="single" w:color="000000" w:sz="4" w:space="0"/>
            </w:tcBorders>
            <w:noWrap w:val="0"/>
            <w:vAlign w:val="center"/>
          </w:tcPr>
          <w:p w14:paraId="3C43D70A">
            <w:pPr>
              <w:pStyle w:val="7"/>
              <w:ind w:firstLine="0" w:firstLineChars="0"/>
              <w:jc w:val="left"/>
              <w:rPr>
                <w:rFonts w:hint="eastAsia" w:hAnsi="宋体"/>
                <w:sz w:val="18"/>
                <w:szCs w:val="18"/>
              </w:rPr>
            </w:pPr>
            <w:r>
              <w:rPr>
                <w:rFonts w:ascii="黑体" w:hAnsi="黑体" w:eastAsia="黑体"/>
                <w:sz w:val="18"/>
                <w:szCs w:val="18"/>
              </w:rPr>
              <w:t>注1：</w:t>
            </w:r>
            <w:r>
              <w:rPr>
                <w:rFonts w:hAnsi="宋体"/>
                <w:sz w:val="18"/>
                <w:szCs w:val="18"/>
              </w:rPr>
              <w:t>对于视网膜蓝光</w:t>
            </w:r>
            <w:r>
              <w:rPr>
                <w:rFonts w:hint="eastAsia" w:hAnsi="宋体"/>
                <w:sz w:val="18"/>
                <w:szCs w:val="18"/>
                <w:lang w:eastAsia="zh-CN"/>
              </w:rPr>
              <w:t>（</w:t>
            </w:r>
            <w:r>
              <w:rPr>
                <w:rFonts w:hAnsi="宋体"/>
                <w:sz w:val="18"/>
                <w:szCs w:val="18"/>
              </w:rPr>
              <w:t>小光源</w:t>
            </w:r>
            <w:r>
              <w:rPr>
                <w:rFonts w:hint="eastAsia" w:hAnsi="宋体"/>
                <w:sz w:val="18"/>
                <w:szCs w:val="18"/>
                <w:lang w:eastAsia="zh-CN"/>
              </w:rPr>
              <w:t>）</w:t>
            </w:r>
            <w:r>
              <w:rPr>
                <w:rFonts w:hAnsi="宋体"/>
                <w:sz w:val="18"/>
                <w:szCs w:val="18"/>
              </w:rPr>
              <w:t>危害，未定义风险1类。</w:t>
            </w:r>
          </w:p>
          <w:p w14:paraId="09958B5F">
            <w:pPr>
              <w:pStyle w:val="7"/>
              <w:ind w:firstLine="0" w:firstLineChars="0"/>
              <w:jc w:val="left"/>
              <w:rPr>
                <w:rFonts w:hint="eastAsia" w:hAnsi="宋体"/>
                <w:sz w:val="18"/>
                <w:szCs w:val="18"/>
              </w:rPr>
            </w:pPr>
            <w:r>
              <w:rPr>
                <w:rFonts w:ascii="黑体" w:hAnsi="黑体" w:eastAsia="黑体"/>
                <w:sz w:val="18"/>
                <w:szCs w:val="18"/>
              </w:rPr>
              <w:t>注</w:t>
            </w:r>
            <w:r>
              <w:rPr>
                <w:rFonts w:hint="eastAsia" w:ascii="黑体" w:hAnsi="黑体" w:eastAsia="黑体"/>
                <w:sz w:val="18"/>
                <w:szCs w:val="18"/>
              </w:rPr>
              <w:t>2</w:t>
            </w:r>
            <w:r>
              <w:rPr>
                <w:rFonts w:ascii="黑体" w:hAnsi="黑体" w:eastAsia="黑体"/>
                <w:sz w:val="18"/>
                <w:szCs w:val="18"/>
              </w:rPr>
              <w:t>：</w:t>
            </w:r>
            <w:r>
              <w:rPr>
                <w:rFonts w:hAnsi="宋体"/>
                <w:sz w:val="18"/>
                <w:szCs w:val="18"/>
              </w:rPr>
              <w:t>对于视网膜热危害，如果可达发射超过免除类风险组的AEL</w:t>
            </w:r>
            <w:r>
              <w:rPr>
                <w:rFonts w:hint="eastAsia" w:hAnsi="宋体"/>
                <w:sz w:val="18"/>
                <w:szCs w:val="18"/>
                <w:lang w:eastAsia="zh-CN"/>
              </w:rPr>
              <w:t>，</w:t>
            </w:r>
            <w:r>
              <w:rPr>
                <w:rFonts w:hAnsi="宋体"/>
                <w:sz w:val="18"/>
                <w:szCs w:val="18"/>
              </w:rPr>
              <w:t>非相干光产品则属于风险 3 类。</w:t>
            </w:r>
          </w:p>
          <w:p w14:paraId="1AF41BAE">
            <w:pPr>
              <w:pStyle w:val="7"/>
              <w:ind w:firstLine="0" w:firstLineChars="0"/>
              <w:jc w:val="left"/>
              <w:rPr>
                <w:rFonts w:hint="eastAsia" w:hAnsi="宋体"/>
                <w:sz w:val="18"/>
                <w:szCs w:val="18"/>
              </w:rPr>
            </w:pPr>
            <w:r>
              <w:rPr>
                <w:rFonts w:ascii="黑体" w:hAnsi="黑体" w:eastAsia="黑体"/>
                <w:sz w:val="18"/>
                <w:szCs w:val="18"/>
              </w:rPr>
              <w:t>注</w:t>
            </w:r>
            <w:r>
              <w:rPr>
                <w:rFonts w:hint="eastAsia" w:ascii="黑体" w:hAnsi="黑体" w:eastAsia="黑体"/>
                <w:sz w:val="18"/>
                <w:szCs w:val="18"/>
              </w:rPr>
              <w:t>3</w:t>
            </w:r>
            <w:r>
              <w:rPr>
                <w:rFonts w:ascii="黑体" w:hAnsi="黑体" w:eastAsia="黑体"/>
                <w:sz w:val="18"/>
                <w:szCs w:val="18"/>
              </w:rPr>
              <w:t>：</w:t>
            </w:r>
            <w:r>
              <w:rPr>
                <w:rFonts w:hAnsi="宋体"/>
                <w:sz w:val="18"/>
                <w:szCs w:val="18"/>
              </w:rPr>
              <w:t>对于非有意观看的视网膜热危害</w:t>
            </w:r>
            <w:r>
              <w:rPr>
                <w:rFonts w:hint="eastAsia" w:hAnsi="宋体"/>
                <w:sz w:val="18"/>
                <w:szCs w:val="18"/>
                <w:lang w:eastAsia="zh-CN"/>
              </w:rPr>
              <w:t>（</w:t>
            </w:r>
            <w:r>
              <w:rPr>
                <w:rFonts w:hAnsi="宋体"/>
                <w:sz w:val="18"/>
                <w:szCs w:val="18"/>
              </w:rPr>
              <w:t>弱视刺激</w:t>
            </w:r>
            <w:r>
              <w:rPr>
                <w:rFonts w:hint="eastAsia" w:hAnsi="宋体"/>
                <w:sz w:val="18"/>
                <w:szCs w:val="18"/>
                <w:lang w:eastAsia="zh-CN"/>
              </w:rPr>
              <w:t>），</w:t>
            </w:r>
            <w:r>
              <w:rPr>
                <w:rFonts w:hAnsi="宋体"/>
                <w:sz w:val="18"/>
                <w:szCs w:val="18"/>
              </w:rPr>
              <w:t>如果可达发射超过风险1类的发射限值，非相干光产品则属于风险3类。</w:t>
            </w:r>
          </w:p>
        </w:tc>
      </w:tr>
      <w:tr w14:paraId="135134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3" w:hRule="atLeast"/>
        </w:trPr>
        <w:tc>
          <w:tcPr>
            <w:tcW w:w="5000" w:type="pct"/>
            <w:gridSpan w:val="8"/>
            <w:tcBorders>
              <w:top w:val="single" w:color="000000" w:sz="4" w:space="0"/>
              <w:left w:val="single" w:color="000000" w:sz="4" w:space="0"/>
              <w:bottom w:val="single" w:color="000000" w:sz="4" w:space="0"/>
              <w:right w:val="single" w:color="000000" w:sz="4" w:space="0"/>
            </w:tcBorders>
            <w:noWrap w:val="0"/>
            <w:vAlign w:val="center"/>
          </w:tcPr>
          <w:p w14:paraId="0DA85D57">
            <w:pPr>
              <w:pStyle w:val="7"/>
              <w:ind w:firstLine="360"/>
              <w:rPr>
                <w:rFonts w:hint="eastAsia" w:hAnsi="宋体"/>
                <w:sz w:val="18"/>
                <w:szCs w:val="18"/>
              </w:rPr>
            </w:pPr>
          </w:p>
          <w:p w14:paraId="7AF4B839">
            <w:pPr>
              <w:pStyle w:val="7"/>
              <w:jc w:val="left"/>
              <w:rPr>
                <w:rFonts w:hint="eastAsia" w:hAnsi="宋体"/>
                <w:sz w:val="18"/>
                <w:szCs w:val="18"/>
              </w:rPr>
            </w:pPr>
            <w:r>
              <w:rPr>
                <w:rFonts w:hAnsi="宋体"/>
                <w:sz w:val="18"/>
                <w:szCs w:val="18"/>
                <w:vertAlign w:val="superscript"/>
              </w:rPr>
              <w:t xml:space="preserve">a </w:t>
            </w:r>
            <w:r>
              <w:rPr>
                <w:rFonts w:hAnsi="宋体"/>
                <w:sz w:val="18"/>
                <w:szCs w:val="18"/>
              </w:rPr>
              <w:t>对于视网膜蓝光光化学危害，在有意观看状态下的可达发射限值按照辐亮度剂量的累加性进行计算。</w:t>
            </w:r>
          </w:p>
          <w:p w14:paraId="2ED35C77">
            <w:pPr>
              <w:pStyle w:val="7"/>
              <w:ind w:firstLine="360"/>
              <w:rPr>
                <w:rFonts w:hint="eastAsia" w:hAnsi="宋体"/>
                <w:sz w:val="18"/>
                <w:szCs w:val="18"/>
              </w:rPr>
            </w:pPr>
            <w:r>
              <w:rPr>
                <w:rFonts w:hAnsi="宋体"/>
                <w:sz w:val="18"/>
                <w:szCs w:val="18"/>
                <w:vertAlign w:val="superscript"/>
              </w:rPr>
              <w:t xml:space="preserve">b </w:t>
            </w:r>
            <w:r>
              <w:rPr>
                <w:rFonts w:hAnsi="宋体"/>
                <w:sz w:val="18"/>
                <w:szCs w:val="18"/>
              </w:rPr>
              <w:t>当α&lt;0.011 rad时，视网膜热危害的可达发射限值降低，RF=α/0.011  rad。参数α等同于可达发射限值的参数α，不同之处在于α</w:t>
            </w:r>
            <w:r>
              <w:rPr>
                <w:rFonts w:hAnsi="宋体"/>
                <w:sz w:val="18"/>
                <w:szCs w:val="18"/>
                <w:vertAlign w:val="subscript"/>
              </w:rPr>
              <w:t>min</w:t>
            </w:r>
            <w:r>
              <w:rPr>
                <w:rFonts w:hAnsi="宋体"/>
                <w:sz w:val="18"/>
                <w:szCs w:val="18"/>
              </w:rPr>
              <w:t xml:space="preserve"> =0.001 5 rad。</w:t>
            </w:r>
          </w:p>
          <w:p w14:paraId="6E4A9326">
            <w:pPr>
              <w:pStyle w:val="7"/>
              <w:ind w:firstLine="360"/>
              <w:rPr>
                <w:rFonts w:hint="eastAsia" w:hAnsi="宋体"/>
                <w:sz w:val="18"/>
                <w:szCs w:val="18"/>
              </w:rPr>
            </w:pPr>
          </w:p>
        </w:tc>
      </w:tr>
    </w:tbl>
    <w:p w14:paraId="14CF6D5B">
      <w:pPr>
        <w:pStyle w:val="7"/>
        <w:ind w:left="0" w:leftChars="0" w:firstLine="0" w:firstLineChars="0"/>
      </w:pPr>
      <w:r>
        <w:rPr>
          <w:rFonts w:hint="eastAsia" w:ascii="黑体" w:hAnsi="黑体" w:eastAsia="黑体" w:cs="Times New Roman"/>
          <w:sz w:val="21"/>
          <w:lang w:val="en-US" w:eastAsia="zh-CN" w:bidi="ar-SA"/>
        </w:rPr>
        <w:t xml:space="preserve">6.2.2 </w:t>
      </w:r>
      <w:r>
        <w:t>测试距离</w:t>
      </w:r>
      <w:r>
        <w:rPr>
          <w:rFonts w:hint="eastAsia"/>
          <w:lang w:val="en-US" w:eastAsia="zh-CN"/>
        </w:rPr>
        <w:t>可与评估距离一致</w:t>
      </w:r>
      <w:r>
        <w:t>。</w:t>
      </w:r>
    </w:p>
    <w:p w14:paraId="64107C81">
      <w:pPr>
        <w:pStyle w:val="7"/>
        <w:ind w:left="0" w:leftChars="0" w:firstLine="0" w:firstLineChars="0"/>
        <w:rPr>
          <w:rFonts w:hint="eastAsia" w:eastAsia="宋体"/>
          <w:lang w:eastAsia="zh-CN"/>
        </w:rPr>
      </w:pPr>
      <w:r>
        <w:rPr>
          <w:rFonts w:hint="eastAsia" w:ascii="黑体" w:hAnsi="黑体" w:eastAsia="黑体" w:cs="Times New Roman"/>
          <w:sz w:val="21"/>
          <w:lang w:val="en-US" w:eastAsia="zh-CN" w:bidi="ar-SA"/>
        </w:rPr>
        <w:t>6.2.3</w:t>
      </w:r>
      <w:r>
        <w:rPr>
          <w:rFonts w:hint="eastAsia"/>
          <w:lang w:val="en-US" w:eastAsia="zh-CN"/>
        </w:rPr>
        <w:t xml:space="preserve"> </w:t>
      </w:r>
      <w:r>
        <w:t>当照相用电子闪光灯产品的光辐射输出为单个脉冲或脉冲序列，且脉冲持续时间小于0.25 s时；或输出的持续时间大于等于0.25 s，但峰值辐照度或辐亮度超过平均辐射量的1.5倍时，应按照GB/T 30117.1-2024的第8章对该产品进行风险类别的评估</w:t>
      </w:r>
      <w:r>
        <w:rPr>
          <w:rFonts w:hint="eastAsia"/>
          <w:lang w:eastAsia="zh-CN"/>
        </w:rPr>
        <w:t>。</w:t>
      </w:r>
    </w:p>
    <w:p w14:paraId="3C0B3B73">
      <w:pPr>
        <w:pStyle w:val="7"/>
        <w:ind w:firstLine="420"/>
      </w:pPr>
      <w:r>
        <w:rPr>
          <w:rFonts w:hint="eastAsia"/>
          <w:lang w:val="en-US" w:eastAsia="zh-CN"/>
        </w:rPr>
        <w:t>a）</w:t>
      </w:r>
      <w:r>
        <w:t>对于所有相关危害类型，将时间平均值与连续光辐射的可达发射限值（AEL）进行比较，按照连续光辐射的规定确定可达发射的测量条件。平均的时间等于对应的各个基准时间。当基准时间内光辐射是周期性的，时间平均值不受平均持续时间的影响，可以使用短于基准时间的平均持续时间。具有过热保护限制的闪光灯（如氙灯），应提供不造成产品过热故障且能保证最大辐射输出的最短闪光周期和最大连续闪光次数（</w:t>
      </w:r>
      <w:r>
        <w:rPr>
          <w:i/>
          <w:iCs/>
        </w:rPr>
        <w:t>N</w:t>
      </w:r>
      <w:r>
        <w:rPr>
          <w:vertAlign w:val="subscript"/>
        </w:rPr>
        <w:t>max</w:t>
      </w:r>
      <w:r>
        <w:t>），由此计算基准时间内的闪光次数以及对应累加辐射剂量，除以基准时间得到时间平均值。通过时间平均值与连续光辐射的AEL 比较判定风险组别，按 GB/T 30117.1 连续光辐射产品风险分类方法确定。</w:t>
      </w:r>
    </w:p>
    <w:p w14:paraId="39DA6BBF">
      <w:pPr>
        <w:pStyle w:val="7"/>
        <w:ind w:firstLine="360"/>
        <w:rPr>
          <w:sz w:val="18"/>
          <w:szCs w:val="18"/>
        </w:rPr>
      </w:pPr>
      <w:r>
        <w:rPr>
          <w:rFonts w:ascii="黑体" w:hAnsi="黑体" w:eastAsia="黑体"/>
          <w:sz w:val="18"/>
          <w:szCs w:val="18"/>
        </w:rPr>
        <w:t>注1：</w:t>
      </w:r>
      <w:r>
        <w:rPr>
          <w:sz w:val="18"/>
          <w:szCs w:val="18"/>
        </w:rPr>
        <w:t>连续光视网膜热基准时间为0.25 s，在该基准时间内氙灯闪光灯一般只能实现一次闪光。</w:t>
      </w:r>
    </w:p>
    <w:p w14:paraId="35C8315E">
      <w:pPr>
        <w:pStyle w:val="7"/>
        <w:ind w:left="897" w:leftChars="170" w:hanging="540" w:hangingChars="300"/>
        <w:rPr>
          <w:sz w:val="18"/>
          <w:szCs w:val="18"/>
        </w:rPr>
      </w:pPr>
      <w:r>
        <w:rPr>
          <w:rFonts w:ascii="黑体" w:hAnsi="黑体" w:eastAsia="黑体"/>
          <w:sz w:val="18"/>
          <w:szCs w:val="18"/>
        </w:rPr>
        <w:t>注2：</w:t>
      </w:r>
      <w:r>
        <w:rPr>
          <w:sz w:val="18"/>
          <w:szCs w:val="18"/>
        </w:rPr>
        <w:t>对于氙灯闪光灯，在基准时间较长时（如10000 s），基准时间除以最短闪光周期得到的闪光次数可能会远大于</w:t>
      </w:r>
      <w:r>
        <w:rPr>
          <w:i/>
          <w:iCs/>
          <w:sz w:val="18"/>
          <w:szCs w:val="18"/>
        </w:rPr>
        <w:t>N</w:t>
      </w:r>
      <w:r>
        <w:rPr>
          <w:sz w:val="18"/>
          <w:szCs w:val="18"/>
          <w:vertAlign w:val="subscript"/>
        </w:rPr>
        <w:t>max</w:t>
      </w:r>
      <w:r>
        <w:rPr>
          <w:sz w:val="18"/>
          <w:szCs w:val="18"/>
        </w:rPr>
        <w:t>，此时取</w:t>
      </w:r>
      <w:r>
        <w:rPr>
          <w:i/>
          <w:iCs/>
          <w:sz w:val="18"/>
          <w:szCs w:val="18"/>
        </w:rPr>
        <w:t>N</w:t>
      </w:r>
      <w:r>
        <w:rPr>
          <w:sz w:val="18"/>
          <w:szCs w:val="18"/>
          <w:vertAlign w:val="subscript"/>
        </w:rPr>
        <w:t>max</w:t>
      </w:r>
      <w:r>
        <w:rPr>
          <w:sz w:val="18"/>
          <w:szCs w:val="18"/>
        </w:rPr>
        <w:t>次闪光的辐射剂量除以积分时间得到时间平均值；若基准时间除以最短闪光周期得到的闪光次数小于</w:t>
      </w:r>
      <w:r>
        <w:rPr>
          <w:i/>
          <w:iCs/>
          <w:sz w:val="18"/>
          <w:szCs w:val="18"/>
        </w:rPr>
        <w:t>N</w:t>
      </w:r>
      <w:r>
        <w:rPr>
          <w:sz w:val="18"/>
          <w:szCs w:val="18"/>
          <w:vertAlign w:val="subscript"/>
        </w:rPr>
        <w:t>max</w:t>
      </w:r>
      <w:r>
        <w:rPr>
          <w:sz w:val="18"/>
          <w:szCs w:val="18"/>
        </w:rPr>
        <w:t>，则取单个脉冲的辐射剂量除以最短闪光周期得到时间平均值。</w:t>
      </w:r>
    </w:p>
    <w:p w14:paraId="135288C2">
      <w:pPr>
        <w:pStyle w:val="7"/>
        <w:ind w:firstLine="420"/>
      </w:pPr>
      <w:r>
        <w:rPr>
          <w:rFonts w:hint="eastAsia"/>
          <w:lang w:val="en-US" w:eastAsia="zh-CN"/>
        </w:rPr>
        <w:t>b）</w:t>
      </w:r>
      <w:r>
        <w:t>采用0.005 rad的接收角测量视网膜热危害加权辐亮度剂量；采用以下两种方式之一测量辐亮度剂量：积分型光电探测，测量积分时间覆盖完整脉冲持续时间并且不纳入评估脉冲以外的光辐射；高速采集辐亮度波形并进行数值积分，采样间隔不大于被测脉冲持续时间的 1/20。比较每个脉冲的视网膜热危害辐亮度剂量与对应可达发射限值（AEL），AEL按照GB/T30117.1的表5计算；若为脉冲串发光，则应比较每个脉冲以及时长在0.25 s内的连续脉冲的辐亮度剂量与对应AEL(t)·C5，其中t为该脉冲的持续时间，C5见GB/T 30117.1中的表6。若根据上述比较，实测危害加权辐亮度剂量（也可换算为辐射亮度）较大，则该产品应归为高风险级产品</w:t>
      </w:r>
      <w:r>
        <w:rPr>
          <w:rFonts w:hint="eastAsia"/>
          <w:lang w:eastAsia="zh-CN"/>
        </w:rPr>
        <w:t>（</w:t>
      </w:r>
      <w:r>
        <w:t>RG3</w:t>
      </w:r>
      <w:r>
        <w:rPr>
          <w:rFonts w:hint="eastAsia"/>
          <w:lang w:eastAsia="zh-CN"/>
        </w:rPr>
        <w:t>）</w:t>
      </w:r>
      <w:r>
        <w:t>，否则归为免除级产品</w:t>
      </w:r>
      <w:r>
        <w:rPr>
          <w:rFonts w:hint="eastAsia"/>
          <w:lang w:eastAsia="zh-CN"/>
        </w:rPr>
        <w:t>（</w:t>
      </w:r>
      <w:r>
        <w:t>RG0</w:t>
      </w:r>
      <w:r>
        <w:rPr>
          <w:rFonts w:hint="eastAsia"/>
          <w:lang w:eastAsia="zh-CN"/>
        </w:rPr>
        <w:t>）</w:t>
      </w:r>
      <w:r>
        <w:t>。上述测量比较中的辐亮度剂量也可换算成持续时间内的辐亮度。</w:t>
      </w:r>
    </w:p>
    <w:p w14:paraId="0F483E32">
      <w:pPr>
        <w:pStyle w:val="7"/>
        <w:ind w:firstLine="420"/>
      </w:pPr>
      <w:r>
        <w:t>采用1.4 rad的接收角测量角膜/晶状体红外危害加权辐照度</w:t>
      </w:r>
      <w:r>
        <w:rPr>
          <w:i/>
          <w:iCs/>
        </w:rPr>
        <w:t>E</w:t>
      </w:r>
      <w:r>
        <w:rPr>
          <w:vertAlign w:val="subscript"/>
        </w:rPr>
        <w:t>ir</w:t>
      </w:r>
      <w:r>
        <w:t>，其脉冲的峰值不应超过脉冲持续时间t</w:t>
      </w:r>
      <w:r>
        <w:rPr>
          <w:vertAlign w:val="subscript"/>
        </w:rPr>
        <w:t>p</w:t>
      </w:r>
      <w:r>
        <w:t>的AEL：18000t</w:t>
      </w:r>
      <w:r>
        <w:rPr>
          <w:vertAlign w:val="subscript"/>
        </w:rPr>
        <w:t>p</w:t>
      </w:r>
      <w:r>
        <w:rPr>
          <w:vertAlign w:val="superscript"/>
        </w:rPr>
        <w:t>-0.75</w:t>
      </w:r>
      <w:r>
        <w:t>W•m</w:t>
      </w:r>
      <w:r>
        <w:rPr>
          <w:vertAlign w:val="superscript"/>
        </w:rPr>
        <w:t>-2</w:t>
      </w:r>
      <w:r>
        <w:t>。若为不规则的脉冲序列，则使用脉冲组持续时间内的平均值与该AEL比较，其中t</w:t>
      </w:r>
      <w:r>
        <w:rPr>
          <w:vertAlign w:val="subscript"/>
        </w:rPr>
        <w:t>p</w:t>
      </w:r>
      <w:r>
        <w:t>应为脉冲组持续时间。</w:t>
      </w:r>
    </w:p>
    <w:p w14:paraId="0A5A5BF3">
      <w:pPr>
        <w:pStyle w:val="7"/>
        <w:ind w:left="0" w:leftChars="0" w:firstLine="0" w:firstLineChars="0"/>
      </w:pPr>
      <w:r>
        <w:rPr>
          <w:rFonts w:hint="eastAsia" w:ascii="黑体" w:hAnsi="黑体" w:eastAsia="黑体" w:cs="Times New Roman"/>
          <w:sz w:val="21"/>
          <w:lang w:val="en-US" w:eastAsia="zh-CN" w:bidi="ar-SA"/>
        </w:rPr>
        <w:t>6.2.4</w:t>
      </w:r>
      <w:r>
        <w:rPr>
          <w:rFonts w:hint="eastAsia"/>
          <w:lang w:val="en-US" w:eastAsia="zh-CN"/>
        </w:rPr>
        <w:t xml:space="preserve"> </w:t>
      </w:r>
      <w:r>
        <w:t>取上述两种条件下评估的较高等级作为被测产品的风险</w:t>
      </w:r>
      <w:r>
        <w:rPr>
          <w:rFonts w:hint="eastAsia"/>
          <w:lang w:val="en-US" w:eastAsia="zh-CN"/>
        </w:rPr>
        <w:t>类别</w:t>
      </w:r>
      <w:r>
        <w:t>。</w:t>
      </w:r>
      <w:r>
        <w:rPr>
          <w:rFonts w:ascii="宋体" w:eastAsia="宋体" w:cs="Times New Roman"/>
        </w:rPr>
        <w:t>完成风险等级评估后输出的</w:t>
      </w:r>
      <w:r>
        <w:rPr>
          <w:rFonts w:hint="eastAsia" w:cs="Times New Roman"/>
          <w:lang w:val="en-US" w:eastAsia="zh-CN"/>
        </w:rPr>
        <w:t>测量</w:t>
      </w:r>
      <w:r>
        <w:rPr>
          <w:rFonts w:ascii="宋体" w:eastAsia="宋体" w:cs="Times New Roman"/>
        </w:rPr>
        <w:t>报告，应包含附录A规定的全部信息。</w:t>
      </w:r>
      <w:r>
        <w:t xml:space="preserve"> </w:t>
      </w:r>
    </w:p>
    <w:p w14:paraId="7B730DD0">
      <w:pPr>
        <w:pStyle w:val="3"/>
      </w:pPr>
      <w:bookmarkStart w:id="116" w:name="_Toc10165"/>
      <w:r>
        <w:rPr>
          <w:rFonts w:ascii="黑体" w:hAnsi="黑体" w:eastAsia="黑体"/>
        </w:rPr>
        <w:t>6.</w:t>
      </w:r>
      <w:r>
        <w:rPr>
          <w:rFonts w:hint="default" w:ascii="黑体" w:hAnsi="黑体" w:eastAsia="黑体"/>
          <w:lang w:val="en-US" w:eastAsia="zh-CN"/>
        </w:rPr>
        <w:t>3</w:t>
      </w:r>
      <w:r>
        <w:rPr>
          <w:rFonts w:ascii="黑体" w:hAnsi="黑体" w:eastAsia="黑体"/>
        </w:rPr>
        <w:t xml:space="preserve">  基于原理的判定</w:t>
      </w:r>
      <w:bookmarkEnd w:id="116"/>
    </w:p>
    <w:p w14:paraId="4F154885">
      <w:pPr>
        <w:pStyle w:val="7"/>
        <w:ind w:firstLine="420"/>
      </w:pPr>
      <w:r>
        <w:t>根据GB/T 30117.1-2024中6.1的规定，对于结构设计定型、光辐射输出特性可预测的闪光灯产品，可基于产品工作原理开展低风险级产品判定。判定应综合考量产品设计、场景假设、光路计算、能量传递、光束辐照度或辐照量计算结果，采取的工程措施和被验证的防护效果等。</w:t>
      </w:r>
      <w:r>
        <w:br w:type="page"/>
      </w:r>
    </w:p>
    <w:p w14:paraId="5B0CE036">
      <w:pPr>
        <w:pStyle w:val="6"/>
        <w:numPr>
          <w:ilvl w:val="0"/>
          <w:numId w:val="0"/>
        </w:numPr>
        <w:spacing w:before="240" w:after="240"/>
        <w:ind w:leftChars="0"/>
        <w:jc w:val="center"/>
        <w:rPr>
          <w:rFonts w:cs="Times New Roman"/>
          <w:szCs w:val="21"/>
        </w:rPr>
      </w:pPr>
      <w:bookmarkStart w:id="117" w:name="_Toc28343"/>
      <w:bookmarkStart w:id="118" w:name="_Toc1080"/>
      <w:r>
        <w:rPr>
          <w:rFonts w:cs="Times New Roman"/>
          <w:szCs w:val="21"/>
        </w:rPr>
        <w:t>附录A</w:t>
      </w:r>
      <w:bookmarkEnd w:id="117"/>
      <w:bookmarkEnd w:id="118"/>
    </w:p>
    <w:p w14:paraId="139F303E">
      <w:pPr>
        <w:pStyle w:val="7"/>
        <w:ind w:firstLine="0" w:firstLineChars="0"/>
        <w:jc w:val="center"/>
        <w:rPr>
          <w:rFonts w:hint="eastAsia" w:ascii="黑体" w:hAnsi="黑体" w:eastAsia="黑体"/>
        </w:rPr>
      </w:pPr>
      <w:r>
        <w:rPr>
          <w:rFonts w:hint="eastAsia" w:ascii="黑体" w:hAnsi="黑体" w:eastAsia="黑体"/>
        </w:rPr>
        <w:t xml:space="preserve"> </w:t>
      </w:r>
      <w:r>
        <w:rPr>
          <w:rFonts w:hint="eastAsia" w:ascii="黑体" w:hAnsi="黑体" w:eastAsia="黑体"/>
          <w:lang w:eastAsia="zh-CN"/>
        </w:rPr>
        <w:t>（</w:t>
      </w:r>
      <w:r>
        <w:rPr>
          <w:rFonts w:ascii="黑体" w:hAnsi="黑体" w:eastAsia="黑体"/>
        </w:rPr>
        <w:t>资料性）</w:t>
      </w:r>
    </w:p>
    <w:p w14:paraId="3F3221B2">
      <w:pPr>
        <w:pStyle w:val="7"/>
        <w:ind w:firstLine="0" w:firstLineChars="0"/>
        <w:jc w:val="center"/>
        <w:rPr>
          <w:rFonts w:hint="eastAsia" w:ascii="黑体" w:hAnsi="黑体" w:eastAsia="黑体"/>
        </w:rPr>
      </w:pPr>
      <w:r>
        <w:rPr>
          <w:rFonts w:hint="eastAsia" w:ascii="黑体" w:hAnsi="黑体" w:eastAsia="黑体"/>
          <w:lang w:val="en-US" w:eastAsia="zh-CN"/>
        </w:rPr>
        <w:t>照相用电子闪光灯光辐射安全测量</w:t>
      </w:r>
      <w:r>
        <w:rPr>
          <w:rFonts w:ascii="黑体" w:hAnsi="黑体" w:eastAsia="黑体"/>
        </w:rPr>
        <w:t>报告</w:t>
      </w:r>
      <w:r>
        <w:rPr>
          <w:rFonts w:hint="eastAsia" w:ascii="黑体" w:hAnsi="黑体" w:eastAsia="黑体"/>
          <w:lang w:val="en-US" w:eastAsia="zh-CN"/>
        </w:rPr>
        <w:t>基本</w:t>
      </w:r>
      <w:r>
        <w:rPr>
          <w:rFonts w:ascii="黑体" w:hAnsi="黑体" w:eastAsia="黑体"/>
        </w:rPr>
        <w:t>信息</w:t>
      </w:r>
    </w:p>
    <w:p w14:paraId="0FE24486">
      <w:pPr>
        <w:pStyle w:val="7"/>
        <w:ind w:firstLine="420"/>
        <w:rPr>
          <w:rFonts w:ascii="宋体" w:hAnsi="Times New Roman" w:eastAsia="宋体" w:cs="Times New Roman"/>
          <w:b w:val="0"/>
          <w:bCs w:val="0"/>
          <w:i w:val="0"/>
          <w:iCs w:val="0"/>
          <w:caps w:val="0"/>
          <w:spacing w:val="0"/>
          <w:sz w:val="21"/>
          <w:szCs w:val="20"/>
        </w:rPr>
      </w:pPr>
      <w:r>
        <w:rPr>
          <w:rFonts w:hint="default" w:ascii="宋体" w:hAnsi="Times New Roman" w:eastAsia="宋体" w:cs="Times New Roman"/>
          <w:b w:val="0"/>
          <w:bCs w:val="0"/>
          <w:i w:val="0"/>
          <w:iCs w:val="0"/>
          <w:caps w:val="0"/>
          <w:spacing w:val="0"/>
          <w:sz w:val="21"/>
          <w:szCs w:val="20"/>
          <w:shd w:val="clear"/>
        </w:rPr>
        <w:t>本附录给出了照相用电子闪光灯光辐射安全</w:t>
      </w:r>
      <w:r>
        <w:rPr>
          <w:rFonts w:hint="default" w:ascii="宋体" w:hAnsi="Times New Roman" w:eastAsia="宋体" w:cs="Times New Roman"/>
          <w:b w:val="0"/>
          <w:bCs w:val="0"/>
          <w:i w:val="0"/>
          <w:iCs w:val="0"/>
          <w:caps w:val="0"/>
          <w:spacing w:val="0"/>
          <w:sz w:val="21"/>
          <w:szCs w:val="20"/>
          <w:shd w:val="clear"/>
          <w:lang w:val="en-US" w:eastAsia="zh-CN"/>
        </w:rPr>
        <w:t>测量</w:t>
      </w:r>
      <w:r>
        <w:rPr>
          <w:rFonts w:hint="default" w:ascii="宋体" w:hAnsi="Times New Roman" w:eastAsia="宋体" w:cs="Times New Roman"/>
          <w:b w:val="0"/>
          <w:bCs w:val="0"/>
          <w:i w:val="0"/>
          <w:iCs w:val="0"/>
          <w:caps w:val="0"/>
          <w:spacing w:val="0"/>
          <w:sz w:val="21"/>
          <w:szCs w:val="20"/>
          <w:shd w:val="clear"/>
        </w:rPr>
        <w:t>报告的基础信息参考清单，</w:t>
      </w:r>
      <w:r>
        <w:rPr>
          <w:rFonts w:hint="default" w:ascii="宋体" w:hAnsi="Times New Roman" w:eastAsia="宋体" w:cs="Times New Roman"/>
          <w:b w:val="0"/>
          <w:bCs w:val="0"/>
          <w:i w:val="0"/>
          <w:iCs w:val="0"/>
          <w:caps w:val="0"/>
          <w:spacing w:val="0"/>
          <w:sz w:val="21"/>
          <w:szCs w:val="20"/>
          <w:shd w:val="clear"/>
          <w:lang w:val="en-US" w:eastAsia="zh-CN"/>
        </w:rPr>
        <w:t>测量</w:t>
      </w:r>
      <w:r>
        <w:rPr>
          <w:rFonts w:hint="default" w:ascii="宋体" w:hAnsi="Times New Roman" w:eastAsia="宋体" w:cs="Times New Roman"/>
          <w:b w:val="0"/>
          <w:bCs w:val="0"/>
          <w:i w:val="0"/>
          <w:iCs w:val="0"/>
          <w:caps w:val="0"/>
          <w:spacing w:val="0"/>
          <w:sz w:val="21"/>
          <w:szCs w:val="20"/>
          <w:shd w:val="clear"/>
        </w:rPr>
        <w:t>报告宜至少包含以下信息：</w:t>
      </w:r>
    </w:p>
    <w:p w14:paraId="65B91EDE">
      <w:pPr>
        <w:pStyle w:val="7"/>
        <w:ind w:firstLine="420"/>
        <w:jc w:val="left"/>
      </w:pPr>
      <w:bookmarkStart w:id="119" w:name="OLE_LINK6"/>
      <w:r>
        <w:rPr>
          <w:rFonts w:hint="eastAsia"/>
        </w:rPr>
        <w:t>a）</w:t>
      </w:r>
      <w:bookmarkEnd w:id="119"/>
      <w:r>
        <w:t>产品信息：</w:t>
      </w:r>
    </w:p>
    <w:p w14:paraId="0A33B4FA">
      <w:pPr>
        <w:pStyle w:val="7"/>
        <w:ind w:firstLine="420"/>
      </w:pPr>
      <w:r>
        <w:t>产品名称和型号；</w:t>
      </w:r>
    </w:p>
    <w:p w14:paraId="4A1BD5C5">
      <w:pPr>
        <w:pStyle w:val="7"/>
        <w:ind w:firstLine="420"/>
      </w:pPr>
      <w:r>
        <w:t>设置/工作模式；</w:t>
      </w:r>
    </w:p>
    <w:p w14:paraId="2185A1B5">
      <w:pPr>
        <w:pStyle w:val="7"/>
        <w:ind w:firstLine="420"/>
      </w:pPr>
      <w:r>
        <w:t>额定电参数；</w:t>
      </w:r>
    </w:p>
    <w:p w14:paraId="51CB77A4">
      <w:pPr>
        <w:pStyle w:val="7"/>
        <w:ind w:firstLine="420"/>
      </w:pPr>
      <w:bookmarkStart w:id="120" w:name="OLE_LINK7"/>
      <w:r>
        <w:rPr>
          <w:rFonts w:hint="eastAsia"/>
        </w:rPr>
        <w:t>b）</w:t>
      </w:r>
      <w:bookmarkEnd w:id="120"/>
      <w:r>
        <w:rPr>
          <w:rFonts w:hint="eastAsia"/>
          <w:lang w:val="en-US" w:eastAsia="zh-CN"/>
        </w:rPr>
        <w:t>测量</w:t>
      </w:r>
      <w:r>
        <w:t>环境条件：</w:t>
      </w:r>
    </w:p>
    <w:p w14:paraId="205F7542">
      <w:pPr>
        <w:pStyle w:val="7"/>
        <w:ind w:firstLine="420"/>
      </w:pPr>
      <w:r>
        <w:t>环境照明水平；</w:t>
      </w:r>
    </w:p>
    <w:p w14:paraId="70EF3E9C">
      <w:pPr>
        <w:pStyle w:val="7"/>
        <w:ind w:firstLine="420"/>
      </w:pPr>
      <w:r>
        <w:t>温度；</w:t>
      </w:r>
    </w:p>
    <w:p w14:paraId="7758A576">
      <w:pPr>
        <w:pStyle w:val="7"/>
        <w:ind w:firstLine="420"/>
      </w:pPr>
      <w:r>
        <w:t>相对湿度；</w:t>
      </w:r>
    </w:p>
    <w:p w14:paraId="7F0D637C">
      <w:pPr>
        <w:pStyle w:val="7"/>
        <w:ind w:firstLine="420"/>
      </w:pPr>
      <w:r>
        <w:rPr>
          <w:rFonts w:hint="eastAsia"/>
        </w:rPr>
        <w:t>c）</w:t>
      </w:r>
      <w:r>
        <w:t>测量几何：</w:t>
      </w:r>
    </w:p>
    <w:p w14:paraId="7954FF02">
      <w:pPr>
        <w:pStyle w:val="7"/>
        <w:ind w:firstLine="420"/>
      </w:pPr>
      <w:r>
        <w:t>参考标准；</w:t>
      </w:r>
    </w:p>
    <w:p w14:paraId="1C866FF8">
      <w:pPr>
        <w:pStyle w:val="7"/>
        <w:ind w:firstLine="420"/>
      </w:pPr>
      <w:r>
        <w:t>辐照度/辐亮度测量方法；</w:t>
      </w:r>
    </w:p>
    <w:p w14:paraId="2495EB4A">
      <w:pPr>
        <w:pStyle w:val="7"/>
        <w:ind w:firstLine="420"/>
      </w:pPr>
      <w:r>
        <w:t>评估距离、测量距离；</w:t>
      </w:r>
    </w:p>
    <w:p w14:paraId="7DA71F98">
      <w:pPr>
        <w:pStyle w:val="7"/>
        <w:ind w:firstLine="420"/>
      </w:pPr>
      <w:r>
        <w:t>接收角γ；</w:t>
      </w:r>
    </w:p>
    <w:p w14:paraId="515D010F">
      <w:pPr>
        <w:pStyle w:val="7"/>
        <w:ind w:firstLine="420"/>
      </w:pPr>
      <w:r>
        <w:t>孔径光阑；</w:t>
      </w:r>
    </w:p>
    <w:p w14:paraId="2E5B9457">
      <w:pPr>
        <w:pStyle w:val="7"/>
        <w:ind w:firstLine="420"/>
      </w:pPr>
      <w:r>
        <w:rPr>
          <w:rFonts w:hint="eastAsia"/>
        </w:rPr>
        <w:t>d）</w:t>
      </w:r>
      <w:r>
        <w:t>测量数据：</w:t>
      </w:r>
    </w:p>
    <w:p w14:paraId="36470775">
      <w:pPr>
        <w:pStyle w:val="7"/>
        <w:ind w:firstLine="420"/>
      </w:pPr>
      <w:r>
        <w:t>相对光谱功率分布；</w:t>
      </w:r>
    </w:p>
    <w:p w14:paraId="777CADE5">
      <w:pPr>
        <w:pStyle w:val="7"/>
        <w:ind w:firstLine="420"/>
      </w:pPr>
      <w:r>
        <w:t>辐亮度值/辐照度值；</w:t>
      </w:r>
    </w:p>
    <w:p w14:paraId="79E725A8">
      <w:pPr>
        <w:pStyle w:val="7"/>
        <w:ind w:firstLine="420"/>
      </w:pPr>
      <w:r>
        <w:t>对向角；</w:t>
      </w:r>
    </w:p>
    <w:p w14:paraId="6EDD540C">
      <w:pPr>
        <w:pStyle w:val="7"/>
        <w:ind w:firstLine="420"/>
      </w:pPr>
      <w:r>
        <w:t>脉冲持续时间；</w:t>
      </w:r>
    </w:p>
    <w:p w14:paraId="3CD74EE1">
      <w:pPr>
        <w:pStyle w:val="7"/>
        <w:ind w:left="420" w:firstLine="0" w:firstLineChars="0"/>
      </w:pPr>
      <w:r>
        <w:rPr>
          <w:rFonts w:hint="eastAsia"/>
        </w:rPr>
        <w:t>d）</w:t>
      </w:r>
      <w:r>
        <w:t>风险组及危害类别：</w:t>
      </w:r>
    </w:p>
    <w:p w14:paraId="496E576C">
      <w:pPr>
        <w:pStyle w:val="7"/>
        <w:ind w:firstLine="420"/>
      </w:pPr>
      <w:r>
        <w:t>CW光源或脉冲光源；</w:t>
      </w:r>
    </w:p>
    <w:p w14:paraId="2B224D4A">
      <w:pPr>
        <w:pStyle w:val="7"/>
        <w:ind w:firstLine="420"/>
      </w:pPr>
      <w:r>
        <w:t>免除级产品、低风险级产品、中风险级产品和高风险级产品；</w:t>
      </w:r>
    </w:p>
    <w:p w14:paraId="29A9F7B8">
      <w:pPr>
        <w:pStyle w:val="7"/>
        <w:ind w:firstLine="420"/>
      </w:pPr>
      <w:r>
        <w:t>评估危害种类：视网膜蓝光危害、视网膜热危害或眼睛红外辐射危害，或上述这些危害的一部分；</w:t>
      </w:r>
    </w:p>
    <w:p w14:paraId="48E8A361">
      <w:pPr>
        <w:pStyle w:val="7"/>
        <w:ind w:firstLine="420"/>
      </w:pPr>
      <w:r>
        <w:t>超限危害种类。</w:t>
      </w:r>
    </w:p>
    <w:p w14:paraId="52A5EA99">
      <w:pPr>
        <w:pStyle w:val="7"/>
        <w:ind w:firstLine="420"/>
      </w:pPr>
      <w:r>
        <w:t xml:space="preserve"> </w:t>
      </w:r>
    </w:p>
    <w:p w14:paraId="30033346">
      <w:pPr>
        <w:pStyle w:val="7"/>
        <w:ind w:firstLine="420"/>
      </w:pPr>
      <w:r>
        <w:t xml:space="preserve"> </w:t>
      </w:r>
    </w:p>
    <w:p w14:paraId="6944043C">
      <w:pPr>
        <w:pStyle w:val="7"/>
        <w:ind w:firstLine="420"/>
      </w:pPr>
      <w:r>
        <w:t xml:space="preserve"> </w:t>
      </w:r>
    </w:p>
    <w:p w14:paraId="0FD80C58">
      <w:pPr>
        <w:pStyle w:val="7"/>
        <w:ind w:firstLine="420"/>
      </w:pPr>
      <w:r>
        <w:t xml:space="preserve"> </w:t>
      </w:r>
    </w:p>
    <w:p w14:paraId="1866F20C">
      <w:pPr>
        <w:pStyle w:val="7"/>
        <w:ind w:firstLine="420"/>
      </w:pPr>
      <w:r>
        <w:t xml:space="preserve"> </w:t>
      </w:r>
    </w:p>
    <w:p w14:paraId="57DA4894">
      <w:pPr>
        <w:pStyle w:val="7"/>
        <w:ind w:firstLine="420"/>
      </w:pPr>
      <w:r>
        <w:t xml:space="preserve"> </w:t>
      </w:r>
    </w:p>
    <w:p w14:paraId="0A484FFC">
      <w:pPr>
        <w:pStyle w:val="7"/>
        <w:ind w:firstLine="420"/>
      </w:pPr>
      <w:r>
        <w:t xml:space="preserve"> </w:t>
      </w:r>
    </w:p>
    <w:p w14:paraId="7D073E14">
      <w:pPr>
        <w:pStyle w:val="7"/>
        <w:ind w:firstLine="420"/>
      </w:pPr>
      <w:r>
        <w:t xml:space="preserve"> </w:t>
      </w:r>
    </w:p>
    <w:p w14:paraId="293F46D1">
      <w:pPr>
        <w:pStyle w:val="7"/>
        <w:ind w:firstLine="420"/>
      </w:pPr>
      <w:r>
        <w:t xml:space="preserve"> </w:t>
      </w:r>
    </w:p>
    <w:p w14:paraId="0D0E0C3C">
      <w:pPr>
        <w:pStyle w:val="7"/>
        <w:ind w:firstLine="420"/>
      </w:pPr>
      <w:r>
        <w:t xml:space="preserve"> </w:t>
      </w:r>
    </w:p>
    <w:p w14:paraId="7C7C9FD1">
      <w:pPr>
        <w:pStyle w:val="7"/>
        <w:ind w:firstLine="420"/>
      </w:pPr>
      <w:r>
        <w:t xml:space="preserve"> </w:t>
      </w:r>
    </w:p>
    <w:p w14:paraId="3AFB8250">
      <w:pPr>
        <w:pStyle w:val="7"/>
        <w:ind w:firstLine="420"/>
      </w:pPr>
      <w:r>
        <w:t xml:space="preserve"> </w:t>
      </w:r>
    </w:p>
    <w:p w14:paraId="65601A46">
      <w:pPr>
        <w:pStyle w:val="7"/>
        <w:ind w:firstLine="420"/>
      </w:pPr>
    </w:p>
    <w:p w14:paraId="2FD782D1">
      <w:pPr>
        <w:pStyle w:val="7"/>
        <w:ind w:firstLine="420"/>
      </w:pPr>
      <w:r>
        <w:t xml:space="preserve"> </w:t>
      </w:r>
    </w:p>
    <w:p w14:paraId="456A1704">
      <w:pPr>
        <w:pStyle w:val="7"/>
        <w:ind w:firstLine="420"/>
      </w:pPr>
      <w:r>
        <w:t xml:space="preserve"> </w:t>
      </w:r>
    </w:p>
    <w:p w14:paraId="5508A8A6">
      <w:pPr>
        <w:pStyle w:val="7"/>
        <w:ind w:firstLine="420"/>
      </w:pPr>
      <w:r>
        <w:t xml:space="preserve"> </w:t>
      </w:r>
    </w:p>
    <w:p w14:paraId="66C36564">
      <w:pPr>
        <w:pStyle w:val="7"/>
        <w:ind w:firstLine="420"/>
      </w:pPr>
      <w:r>
        <w:t xml:space="preserve"> </w:t>
      </w:r>
    </w:p>
    <w:p w14:paraId="703EC297">
      <w:pPr>
        <w:pStyle w:val="7"/>
        <w:ind w:firstLine="420"/>
      </w:pPr>
      <w:r>
        <w:t xml:space="preserve"> </w:t>
      </w:r>
    </w:p>
    <w:p w14:paraId="661ADE72">
      <w:pPr>
        <w:pStyle w:val="6"/>
        <w:numPr>
          <w:ilvl w:val="1"/>
          <w:numId w:val="0"/>
        </w:numPr>
        <w:spacing w:before="240" w:after="240"/>
        <w:ind w:leftChars="0"/>
        <w:jc w:val="center"/>
        <w:rPr>
          <w:rFonts w:hint="eastAsia" w:cs="Times New Roman"/>
          <w:szCs w:val="21"/>
        </w:rPr>
      </w:pPr>
      <w:bookmarkStart w:id="121" w:name="_Toc3901"/>
      <w:bookmarkEnd w:id="121"/>
      <w:bookmarkStart w:id="122" w:name="_Toc27370"/>
      <w:bookmarkEnd w:id="122"/>
      <w:bookmarkStart w:id="123" w:name="_Toc14092"/>
      <w:bookmarkEnd w:id="123"/>
      <w:bookmarkStart w:id="124" w:name="_Toc19999"/>
      <w:bookmarkEnd w:id="124"/>
      <w:bookmarkStart w:id="125" w:name="_Toc193198789"/>
      <w:bookmarkEnd w:id="125"/>
      <w:bookmarkStart w:id="126" w:name="_Toc12627"/>
      <w:bookmarkEnd w:id="126"/>
      <w:bookmarkStart w:id="127" w:name="_Toc16322"/>
      <w:bookmarkEnd w:id="127"/>
      <w:bookmarkStart w:id="128" w:name="_Toc988"/>
      <w:bookmarkEnd w:id="128"/>
      <w:bookmarkStart w:id="129" w:name="_Toc28587"/>
      <w:bookmarkEnd w:id="129"/>
      <w:bookmarkStart w:id="130" w:name="_Toc166169068"/>
      <w:bookmarkStart w:id="131" w:name="_Toc4345"/>
      <w:bookmarkStart w:id="132" w:name="_Toc1305"/>
      <w:r>
        <w:rPr>
          <w:rFonts w:cs="Times New Roman"/>
          <w:szCs w:val="21"/>
        </w:rPr>
        <w:t>参考文</w:t>
      </w:r>
      <w:bookmarkEnd w:id="130"/>
      <w:r>
        <w:rPr>
          <w:rFonts w:cs="Times New Roman"/>
          <w:szCs w:val="21"/>
        </w:rPr>
        <w:t>献</w:t>
      </w:r>
      <w:bookmarkEnd w:id="131"/>
      <w:bookmarkEnd w:id="132"/>
    </w:p>
    <w:p w14:paraId="3DDE80C7">
      <w:pPr>
        <w:pStyle w:val="7"/>
        <w:numPr>
          <w:ilvl w:val="0"/>
          <w:numId w:val="0"/>
        </w:numPr>
        <w:ind w:leftChars="200"/>
        <w:jc w:val="left"/>
        <w:rPr>
          <w:rFonts w:ascii="宋体" w:hAnsi="Times New Roman" w:eastAsia="宋体" w:cs="Times New Roman"/>
          <w:i w:val="0"/>
          <w:iCs w:val="0"/>
          <w:caps w:val="0"/>
          <w:spacing w:val="0"/>
          <w:sz w:val="21"/>
          <w:szCs w:val="20"/>
          <w:shd w:val="clear"/>
        </w:rPr>
      </w:pPr>
      <w:r>
        <w:rPr>
          <w:rFonts w:hint="eastAsia"/>
          <w:lang w:val="en-US" w:eastAsia="zh-CN"/>
        </w:rPr>
        <w:t>[1]</w:t>
      </w:r>
      <w:r>
        <w:rPr>
          <w:rFonts w:ascii="宋体" w:hAnsi="Times New Roman" w:eastAsia="宋体" w:cs="Times New Roman"/>
          <w:i w:val="0"/>
          <w:iCs w:val="0"/>
          <w:caps w:val="0"/>
          <w:spacing w:val="0"/>
          <w:sz w:val="21"/>
          <w:szCs w:val="20"/>
          <w:shd w:val="clear"/>
        </w:rPr>
        <w:t>GB/T 9316-2007《摄影用电子闪光装置安全要求》</w:t>
      </w:r>
    </w:p>
    <w:p w14:paraId="33DD7F45">
      <w:pPr>
        <w:pStyle w:val="7"/>
        <w:numPr>
          <w:ilvl w:val="0"/>
          <w:numId w:val="0"/>
        </w:numPr>
        <w:ind w:leftChars="200"/>
        <w:jc w:val="left"/>
        <w:rPr>
          <w:rStyle w:val="33"/>
          <w:rFonts w:ascii="宋体" w:hAnsi="Times New Roman" w:eastAsia="宋体" w:cs="Times New Roman"/>
          <w:i w:val="0"/>
          <w:iCs w:val="0"/>
          <w:caps w:val="0"/>
          <w:color w:val="auto"/>
          <w:spacing w:val="0"/>
          <w:sz w:val="21"/>
          <w:szCs w:val="20"/>
          <w:shd w:val="clear"/>
        </w:rPr>
      </w:pPr>
      <w:r>
        <w:rPr>
          <w:rFonts w:hint="eastAsia"/>
          <w:lang w:val="en-US" w:eastAsia="zh-CN"/>
        </w:rPr>
        <w:t>[2]</w:t>
      </w:r>
      <w:r>
        <w:rPr>
          <w:rStyle w:val="33"/>
          <w:rFonts w:ascii="宋体" w:hAnsi="Times New Roman" w:eastAsia="宋体" w:cs="Times New Roman"/>
          <w:i w:val="0"/>
          <w:iCs w:val="0"/>
          <w:caps w:val="0"/>
          <w:color w:val="auto"/>
          <w:spacing w:val="0"/>
          <w:sz w:val="21"/>
          <w:szCs w:val="20"/>
          <w:shd w:val="clear"/>
        </w:rPr>
        <w:t>GB/T 10072-2025《照相用电子闪光装置技术规范》</w:t>
      </w:r>
    </w:p>
    <w:p w14:paraId="50D5C71D">
      <w:pPr>
        <w:pStyle w:val="7"/>
        <w:numPr>
          <w:ilvl w:val="0"/>
          <w:numId w:val="0"/>
        </w:numPr>
        <w:ind w:leftChars="200"/>
        <w:jc w:val="left"/>
        <w:rPr>
          <w:rStyle w:val="33"/>
          <w:rFonts w:ascii="宋体" w:hAnsi="Times New Roman" w:eastAsia="宋体" w:cs="Times New Roman"/>
          <w:i w:val="0"/>
          <w:iCs w:val="0"/>
          <w:caps w:val="0"/>
          <w:color w:val="auto"/>
          <w:spacing w:val="0"/>
          <w:sz w:val="21"/>
          <w:szCs w:val="20"/>
          <w:shd w:val="clear"/>
        </w:rPr>
      </w:pPr>
      <w:r>
        <w:rPr>
          <w:rFonts w:hint="eastAsia"/>
          <w:lang w:val="en-US" w:eastAsia="zh-CN"/>
        </w:rPr>
        <w:t>[3]</w:t>
      </w:r>
      <w:r>
        <w:rPr>
          <w:rStyle w:val="33"/>
          <w:rFonts w:ascii="宋体" w:hAnsi="Times New Roman" w:eastAsia="宋体" w:cs="Times New Roman"/>
          <w:i w:val="0"/>
          <w:iCs w:val="0"/>
          <w:caps w:val="0"/>
          <w:color w:val="auto"/>
          <w:spacing w:val="0"/>
          <w:sz w:val="21"/>
          <w:szCs w:val="20"/>
          <w:shd w:val="clear"/>
        </w:rPr>
        <w:t>GB/T 13987-2025《照相用电子闪光装置闪光指数的确定》</w:t>
      </w:r>
    </w:p>
    <w:p w14:paraId="7A2CCF65">
      <w:pPr>
        <w:pStyle w:val="7"/>
        <w:numPr>
          <w:ilvl w:val="0"/>
          <w:numId w:val="0"/>
        </w:numPr>
        <w:ind w:leftChars="200"/>
        <w:jc w:val="left"/>
      </w:pPr>
      <w:r>
        <w:rPr>
          <w:rFonts w:hint="eastAsia"/>
          <w:lang w:val="en-US" w:eastAsia="zh-CN"/>
        </w:rPr>
        <w:t>[4]</w:t>
      </w:r>
      <w:r>
        <w:t>GB/T 30117.4-2023 灯和灯系统的光生物安全 第4部分</w:t>
      </w:r>
      <w:r>
        <w:rPr>
          <w:rFonts w:hint="eastAsia"/>
          <w:lang w:val="en-US" w:eastAsia="zh-CN"/>
        </w:rPr>
        <w:t>：</w:t>
      </w:r>
      <w:r>
        <w:t>测量方法</w:t>
      </w:r>
    </w:p>
    <w:p w14:paraId="1FE328FE">
      <w:pPr>
        <w:pStyle w:val="7"/>
        <w:numPr>
          <w:ilvl w:val="0"/>
          <w:numId w:val="0"/>
        </w:numPr>
        <w:ind w:leftChars="200"/>
        <w:jc w:val="left"/>
        <w:rPr>
          <w:rStyle w:val="33"/>
          <w:rFonts w:hint="default" w:ascii="宋体" w:hAnsi="Times New Roman" w:eastAsia="宋体" w:cs="Times New Roman"/>
          <w:i w:val="0"/>
          <w:iCs w:val="0"/>
          <w:caps w:val="0"/>
          <w:color w:val="auto"/>
          <w:spacing w:val="0"/>
          <w:sz w:val="21"/>
          <w:szCs w:val="20"/>
          <w:shd w:val="clear"/>
          <w:lang w:val="en-US" w:eastAsia="zh-CN"/>
        </w:rPr>
      </w:pPr>
    </w:p>
    <w:p w14:paraId="54C8EBAD">
      <w:pPr>
        <w:pStyle w:val="7"/>
        <w:ind w:firstLine="420"/>
        <w:jc w:val="left"/>
      </w:pPr>
      <w:r>
        <w:t xml:space="preserve">                            </w:t>
      </w:r>
      <w:bookmarkStart w:id="133" w:name="BookMark8"/>
      <w:r>
        <w:t xml:space="preserve">    </w:t>
      </w:r>
      <w:bookmarkEnd w:id="133"/>
      <w:r>
        <w:drawing>
          <wp:inline distT="0" distB="0" distL="114300" distR="114300">
            <wp:extent cx="1485900" cy="323850"/>
            <wp:effectExtent l="0" t="0" r="0" b="635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7"/>
                    <a:stretch>
                      <a:fillRect/>
                    </a:stretch>
                  </pic:blipFill>
                  <pic:spPr>
                    <a:xfrm>
                      <a:off x="0" y="0"/>
                      <a:ext cx="1485900" cy="323850"/>
                    </a:xfrm>
                    <a:prstGeom prst="rect">
                      <a:avLst/>
                    </a:prstGeom>
                    <a:noFill/>
                    <a:ln>
                      <a:noFill/>
                    </a:ln>
                  </pic:spPr>
                </pic:pic>
              </a:graphicData>
            </a:graphic>
          </wp:inline>
        </w:drawing>
      </w:r>
    </w:p>
    <w:p w14:paraId="13FCF42E">
      <w:pPr>
        <w:pStyle w:val="7"/>
        <w:ind w:firstLine="420"/>
      </w:pPr>
    </w:p>
    <w:p w14:paraId="2997ED5F">
      <w:pPr>
        <w:pStyle w:val="7"/>
        <w:ind w:firstLine="420"/>
      </w:pPr>
    </w:p>
    <w:bookmarkEnd w:id="29"/>
    <w:p w14:paraId="53614F3A">
      <w:pPr>
        <w:pStyle w:val="7"/>
        <w:ind w:firstLine="420"/>
      </w:pPr>
    </w:p>
    <w:p w14:paraId="313E5177">
      <w:pPr>
        <w:pStyle w:val="7"/>
        <w:ind w:firstLine="420"/>
      </w:pPr>
    </w:p>
    <w:sectPr>
      <w:headerReference r:id="rId14" w:type="default"/>
      <w:footerReference r:id="rId15" w:type="default"/>
      <w:pgSz w:w="11906" w:h="16838"/>
      <w:pgMar w:top="1928" w:right="1134" w:bottom="1134" w:left="1134" w:header="1418" w:footer="1134" w:gutter="284"/>
      <w:pgBorders>
        <w:top w:val="none" w:sz="0" w:space="0"/>
        <w:left w:val="none" w:sz="0" w:space="0"/>
        <w:bottom w:val="none" w:sz="0" w:space="0"/>
        <w:right w:val="none" w:sz="0" w:space="0"/>
      </w:pgBorders>
      <w:pgNumType w:start="1"/>
      <w:cols w:space="720" w:num="1"/>
      <w:formProt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2B10C">
    <w:pPr>
      <w:pStyle w:val="2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31C20">
    <w:pPr>
      <w:pStyle w:val="22"/>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8A2E9">
    <w:pPr>
      <w:pStyle w:val="22"/>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68C58E">
    <w:pPr>
      <w:pStyle w:val="60"/>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35ABAC9">
                          <w:pPr>
                            <w:pStyle w:val="60"/>
                          </w:pPr>
                          <w:r>
                            <w:fldChar w:fldCharType="begin"/>
                          </w:r>
                          <w:r>
                            <w:instrText xml:space="preserve">PAGE   \* MERGEFORMAT</w:instrText>
                          </w:r>
                          <w:r>
                            <w:fldChar w:fldCharType="separate"/>
                          </w:r>
                          <w:r>
                            <w:rPr>
                              <w:lang w:val="zh-CN"/>
                            </w:rPr>
                            <w:t>IV</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OOIvoyAgAAYw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044i+jICAABjBAAADgAAAAAAAAABACAAAAAfAQAAZHJzL2Uyb0RvYy54bWxQSwUG&#10;AAAAAAYABgBZAQAAwwUAAAAA&#10;">
              <v:fill on="f" focussize="0,0"/>
              <v:stroke on="f" weight="0.5pt"/>
              <v:imagedata o:title=""/>
              <o:lock v:ext="edit" aspectratio="f"/>
              <v:textbox inset="0mm,0mm,0mm,0mm" style="mso-fit-shape-to-text:t;">
                <w:txbxContent>
                  <w:p w14:paraId="435ABAC9">
                    <w:pPr>
                      <w:pStyle w:val="60"/>
                    </w:pPr>
                    <w:r>
                      <w:fldChar w:fldCharType="begin"/>
                    </w:r>
                    <w:r>
                      <w:instrText xml:space="preserve">PAGE   \* MERGEFORMAT</w:instrText>
                    </w:r>
                    <w:r>
                      <w:fldChar w:fldCharType="separate"/>
                    </w:r>
                    <w:r>
                      <w:rPr>
                        <w:lang w:val="zh-CN"/>
                      </w:rPr>
                      <w:t>IV</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CE66F9">
    <w:pPr>
      <w:pStyle w:val="22"/>
      <w:jc w:val="left"/>
    </w:pPr>
    <w:r>
      <mc:AlternateContent>
        <mc:Choice Requires="wps">
          <w:drawing>
            <wp:anchor distT="0" distB="0" distL="114300" distR="114300" simplePos="0" relativeHeight="251660288" behindDoc="0" locked="0" layoutInCell="1" allowOverlap="1">
              <wp:simplePos x="0" y="0"/>
              <wp:positionH relativeFrom="margin">
                <wp:posOffset>37465</wp:posOffset>
              </wp:positionH>
              <wp:positionV relativeFrom="paragraph">
                <wp:posOffset>9525</wp:posOffset>
              </wp:positionV>
              <wp:extent cx="1828800" cy="1828800"/>
              <wp:effectExtent l="0" t="0" r="0" b="0"/>
              <wp:wrapNone/>
              <wp:docPr id="5"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ED95EAA">
                          <w:pPr>
                            <w:pStyle w:val="22"/>
                            <w:jc w:val="left"/>
                          </w:pPr>
                          <w:r>
                            <w:fldChar w:fldCharType="begin"/>
                          </w:r>
                          <w:r>
                            <w:instrText xml:space="preserve">PAGE   \* MERGEFORMAT</w:instrText>
                          </w:r>
                          <w:r>
                            <w:fldChar w:fldCharType="separate"/>
                          </w:r>
                          <w:r>
                            <w:rPr>
                              <w:lang w:val="zh-CN"/>
                            </w:rP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4" o:spid="_x0000_s1026" o:spt="202" type="#_x0000_t202" style="position:absolute;left:0pt;margin-left:2.95pt;margin-top:0.75pt;height:144pt;width:144pt;mso-position-horizontal-relative:margin;mso-wrap-style:none;z-index:251660288;mso-width-relative:page;mso-height-relative:page;" filled="f" stroked="f" coordsize="21600,21600" o:gfxdata="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q9j/BtQAAAAHAQAADwAAAAAAAAABACAAAAAiAAAAZHJzL2Rvd25yZXYueG1sUEsB&#10;AhQAFAAAAAgAh07iQO0Pv/oyAgAAYwQAAA4AAAAAAAAAAQAgAAAAIwEAAGRycy9lMm9Eb2MueG1s&#10;UEsFBgAAAAAGAAYAWQEAAMcFAAAAAA==&#10;">
              <v:fill on="f" focussize="0,0"/>
              <v:stroke on="f" weight="0.5pt"/>
              <v:imagedata o:title=""/>
              <o:lock v:ext="edit" aspectratio="f"/>
              <v:textbox inset="0mm,0mm,0mm,0mm" style="mso-fit-shape-to-text:t;">
                <w:txbxContent>
                  <w:p w14:paraId="5ED95EAA">
                    <w:pPr>
                      <w:pStyle w:val="22"/>
                      <w:jc w:val="left"/>
                    </w:pPr>
                    <w:r>
                      <w:fldChar w:fldCharType="begin"/>
                    </w:r>
                    <w:r>
                      <w:instrText xml:space="preserve">PAGE   \* MERGEFORMAT</w:instrText>
                    </w:r>
                    <w:r>
                      <w:fldChar w:fldCharType="separate"/>
                    </w:r>
                    <w:r>
                      <w:rPr>
                        <w:lang w:val="zh-CN"/>
                      </w:rP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993C9">
    <w:pPr>
      <w:pStyle w:val="60"/>
    </w:pPr>
    <w:r>
      <w:fldChar w:fldCharType="begin"/>
    </w:r>
    <w:r>
      <w:instrText xml:space="preserve">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CB241D">
    <w:pPr>
      <w:pStyle w:val="23"/>
      <w:wordWrap w:val="0"/>
      <w:jc w:val="right"/>
      <w:rPr>
        <w:rFonts w:hint="eastAsia" w:ascii="黑体" w:hAnsi="黑体" w:eastAsia="黑体"/>
      </w:rPr>
    </w:pPr>
    <w:r>
      <w:t>T</w:t>
    </w:r>
    <w:r>
      <w:rPr>
        <w:shd w:val="clear" w:color="auto" w:fill="auto"/>
      </w:rPr>
      <w:t>/</w:t>
    </w:r>
    <w:r>
      <w:rPr>
        <w:rFonts w:hint="eastAsia"/>
        <w:shd w:val="clear" w:color="auto" w:fill="auto"/>
        <w:lang w:eastAsia="zh-CN"/>
      </w:rPr>
      <w:t>C</w:t>
    </w:r>
    <w:r>
      <w:rPr>
        <w:rFonts w:hint="eastAsia"/>
        <w:shd w:val="clear" w:color="auto" w:fill="auto"/>
        <w:lang w:val="en-US" w:eastAsia="zh-CN"/>
      </w:rPr>
      <w:t>COEA</w:t>
    </w:r>
    <w:r>
      <w:rPr>
        <w:shd w:val="clear" w:color="auto" w:fill="auto"/>
      </w:rPr>
      <w:t xml:space="preserve"> </w:t>
    </w:r>
    <w:r>
      <w:rPr>
        <w:rFonts w:hint="eastAsia"/>
        <w:shd w:val="clear" w:color="auto" w:fill="auto"/>
        <w:lang w:val="en-US" w:eastAsia="zh-CN"/>
      </w:rPr>
      <w:t>XX</w:t>
    </w:r>
    <w:r>
      <w:rPr>
        <w:rFonts w:hAnsi="黑体"/>
        <w:shd w:val="clear" w:color="auto" w:fill="auto"/>
      </w:rPr>
      <w:t>—</w:t>
    </w:r>
    <w:r>
      <w:rPr>
        <w:rFonts w:hint="eastAsia" w:hAnsi="黑体"/>
        <w:shd w:val="clear" w:color="auto" w:fill="auto"/>
        <w:lang w:val="en-US" w:eastAsia="zh-CN"/>
      </w:rPr>
      <w:t>20XX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D935E">
    <w:pPr>
      <w:pStyle w:val="2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BD597">
    <w:pPr>
      <w:pStyle w:val="23"/>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3135B5">
    <w:pPr>
      <w:pStyle w:val="23"/>
      <w:jc w:val="left"/>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STYLEREF  标准文件_文件编号  \* MERGEFORMAT </w:instrText>
    </w:r>
    <w:r>
      <w:rPr>
        <w:rFonts w:hint="eastAsia" w:ascii="黑体" w:hAnsi="黑体" w:eastAsia="黑体" w:cs="黑体"/>
        <w:sz w:val="21"/>
        <w:szCs w:val="21"/>
      </w:rPr>
      <w:fldChar w:fldCharType="separate"/>
    </w:r>
    <w:r>
      <w:rPr>
        <w:rFonts w:hint="eastAsia" w:ascii="黑体" w:hAnsi="黑体" w:eastAsia="黑体" w:cs="黑体"/>
        <w:sz w:val="21"/>
        <w:szCs w:val="21"/>
      </w:rPr>
      <w:t>T/CCOEA XX—20XX</w:t>
    </w:r>
    <w:r>
      <w:rPr>
        <w:rFonts w:hint="eastAsia" w:ascii="黑体" w:hAnsi="黑体" w:eastAsia="黑体" w:cs="黑体"/>
        <w:sz w:val="21"/>
        <w:szCs w:val="21"/>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0F444">
    <w:pPr>
      <w:pStyle w:val="69"/>
      <w:rPr>
        <w:rFonts w:hint="eastAsia"/>
      </w:rPr>
    </w:pPr>
    <w:r>
      <w:fldChar w:fldCharType="begin"/>
    </w:r>
    <w:r>
      <w:instrText xml:space="preserve"> STYLEREF  标准文件_文件编号  \* MERGEFORMAT </w:instrText>
    </w:r>
    <w:r>
      <w:fldChar w:fldCharType="separate"/>
    </w:r>
    <w:r>
      <w:t>T/CCOEA XX—20XX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72"/>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3"/>
      <w:suff w:val="nothing"/>
      <w:lvlText w:val="%1%2.%3　"/>
      <w:lvlJc w:val="left"/>
      <w:pPr>
        <w:ind w:left="0" w:firstLine="0"/>
      </w:pPr>
    </w:lvl>
    <w:lvl w:ilvl="3" w:tentative="0">
      <w:start w:val="1"/>
      <w:numFmt w:val="decimal"/>
      <w:pStyle w:val="122"/>
      <w:suff w:val="nothing"/>
      <w:lvlText w:val="%1%2.%3.%4　"/>
      <w:lvlJc w:val="left"/>
      <w:pPr>
        <w:ind w:left="0" w:firstLine="0"/>
      </w:pPr>
    </w:lvl>
    <w:lvl w:ilvl="4" w:tentative="0">
      <w:start w:val="1"/>
      <w:numFmt w:val="decimal"/>
      <w:pStyle w:val="157"/>
      <w:suff w:val="nothing"/>
      <w:lvlText w:val="%1%2.%3.%4.%5　"/>
      <w:lvlJc w:val="left"/>
      <w:pPr>
        <w:ind w:left="0" w:firstLine="0"/>
      </w:pPr>
    </w:lvl>
    <w:lvl w:ilvl="5" w:tentative="0">
      <w:start w:val="1"/>
      <w:numFmt w:val="decimal"/>
      <w:pStyle w:val="159"/>
      <w:suff w:val="nothing"/>
      <w:lvlText w:val="%1%2.%3.%4.%5.%6　"/>
      <w:lvlJc w:val="left"/>
      <w:pPr>
        <w:ind w:left="0" w:firstLine="0"/>
      </w:pPr>
    </w:lvl>
    <w:lvl w:ilvl="6" w:tentative="0">
      <w:start w:val="1"/>
      <w:numFmt w:val="decimal"/>
      <w:pStyle w:val="162"/>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3"/>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96"/>
      <w:lvlText w:val="%1"/>
      <w:lvlJc w:val="left"/>
      <w:pPr>
        <w:ind w:left="425" w:hanging="425"/>
      </w:pPr>
      <w:rPr>
        <w:rFonts w:hint="eastAsia"/>
      </w:rPr>
    </w:lvl>
    <w:lvl w:ilvl="1" w:tentative="0">
      <w:start w:val="1"/>
      <w:numFmt w:val="decimal"/>
      <w:pStyle w:val="202"/>
      <w:suff w:val="nothing"/>
      <w:lvlText w:val="%10.%2 "/>
      <w:lvlJc w:val="left"/>
      <w:pPr>
        <w:ind w:left="0" w:firstLine="0"/>
      </w:pPr>
      <w:rPr>
        <w:rFonts w:hint="eastAsia" w:ascii="黑体" w:hAnsi="等线" w:eastAsia="黑体"/>
        <w:b w:val="0"/>
        <w:i w:val="0"/>
        <w:sz w:val="21"/>
      </w:rPr>
    </w:lvl>
    <w:lvl w:ilvl="2" w:tentative="0">
      <w:start w:val="1"/>
      <w:numFmt w:val="decimal"/>
      <w:pStyle w:val="203"/>
      <w:suff w:val="nothing"/>
      <w:lvlText w:val="%10.%2.%3 "/>
      <w:lvlJc w:val="left"/>
      <w:pPr>
        <w:ind w:left="0" w:firstLine="0"/>
      </w:pPr>
      <w:rPr>
        <w:rFonts w:hint="eastAsia" w:ascii="黑体" w:hAnsi="等线" w:eastAsia="黑体"/>
        <w:b w:val="0"/>
        <w:i w:val="0"/>
        <w:sz w:val="21"/>
      </w:rPr>
    </w:lvl>
    <w:lvl w:ilvl="3" w:tentative="0">
      <w:start w:val="1"/>
      <w:numFmt w:val="decimal"/>
      <w:pStyle w:val="204"/>
      <w:suff w:val="nothing"/>
      <w:lvlText w:val="%10.%2.%3.%4 "/>
      <w:lvlJc w:val="left"/>
      <w:pPr>
        <w:ind w:left="0" w:firstLine="0"/>
      </w:pPr>
      <w:rPr>
        <w:rFonts w:hint="eastAsia" w:ascii="黑体" w:hAnsi="等线" w:eastAsia="黑体"/>
        <w:b w:val="0"/>
        <w:i w:val="0"/>
        <w:sz w:val="21"/>
      </w:rPr>
    </w:lvl>
    <w:lvl w:ilvl="4" w:tentative="0">
      <w:start w:val="1"/>
      <w:numFmt w:val="decimal"/>
      <w:pStyle w:val="205"/>
      <w:suff w:val="nothing"/>
      <w:lvlText w:val="%10.%2.%3.%4.%5 "/>
      <w:lvlJc w:val="left"/>
      <w:pPr>
        <w:ind w:left="0" w:firstLine="0"/>
      </w:pPr>
      <w:rPr>
        <w:rFonts w:hint="eastAsia" w:ascii="黑体" w:hAnsi="等线" w:eastAsia="黑体"/>
        <w:b w:val="0"/>
        <w:i w:val="0"/>
        <w:sz w:val="21"/>
      </w:rPr>
    </w:lvl>
    <w:lvl w:ilvl="5" w:tentative="0">
      <w:start w:val="1"/>
      <w:numFmt w:val="decimal"/>
      <w:pStyle w:val="206"/>
      <w:suff w:val="nothing"/>
      <w:lvlText w:val="%10.%2.%3.%4.%5.%6 "/>
      <w:lvlJc w:val="left"/>
      <w:pPr>
        <w:ind w:left="0" w:firstLine="0"/>
      </w:pPr>
      <w:rPr>
        <w:rFonts w:hint="eastAsia" w:ascii="黑体" w:hAnsi="等线" w:eastAsia="黑体"/>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4"/>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75"/>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72"/>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4"/>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93"/>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9"/>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6"/>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9"/>
      <w:lvlText w:val=""/>
      <w:lvlJc w:val="left"/>
      <w:pPr>
        <w:ind w:left="851" w:hanging="431"/>
      </w:pPr>
      <w:rPr>
        <w:rFonts w:hint="default" w:ascii="Symbol" w:hAnsi="Symbol"/>
        <w:sz w:val="21"/>
      </w:rPr>
    </w:lvl>
    <w:lvl w:ilvl="2" w:tentative="0">
      <w:start w:val="1"/>
      <w:numFmt w:val="bullet"/>
      <w:pStyle w:val="175"/>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7"/>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7"/>
      <w:lvlText w:val="%1)"/>
      <w:lvlJc w:val="left"/>
      <w:pPr>
        <w:tabs>
          <w:tab w:val="left" w:pos="851"/>
        </w:tabs>
        <w:ind w:left="851" w:hanging="426"/>
      </w:pPr>
      <w:rPr>
        <w:rFonts w:hint="eastAsia" w:ascii="宋体" w:hAnsi="Times New Roman" w:eastAsia="宋体"/>
        <w:sz w:val="21"/>
      </w:rPr>
    </w:lvl>
    <w:lvl w:ilvl="1" w:tentative="0">
      <w:start w:val="1"/>
      <w:numFmt w:val="decimal"/>
      <w:pStyle w:val="113"/>
      <w:lvlText w:val="%2)"/>
      <w:lvlJc w:val="left"/>
      <w:pPr>
        <w:tabs>
          <w:tab w:val="left" w:pos="1276"/>
        </w:tabs>
        <w:ind w:left="1276" w:hanging="425"/>
      </w:pPr>
      <w:rPr>
        <w:rFonts w:hint="eastAsia" w:ascii="宋体" w:hAnsi="Times New Roman" w:eastAsia="宋体"/>
        <w:sz w:val="21"/>
      </w:rPr>
    </w:lvl>
    <w:lvl w:ilvl="2" w:tentative="0">
      <w:start w:val="1"/>
      <w:numFmt w:val="decimal"/>
      <w:pStyle w:val="121"/>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200"/>
      <w:lvlText w:val="%1"/>
      <w:lvlJc w:val="left"/>
      <w:pPr>
        <w:ind w:left="420" w:hanging="420"/>
      </w:pPr>
      <w:rPr>
        <w:rFonts w:hint="eastAsia"/>
      </w:rPr>
    </w:lvl>
    <w:lvl w:ilvl="1" w:tentative="0">
      <w:start w:val="1"/>
      <w:numFmt w:val="decimal"/>
      <w:pStyle w:val="91"/>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6"/>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20"/>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100"/>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8"/>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201"/>
      <w:suff w:val="space"/>
      <w:lvlText w:val="%1"/>
      <w:lvlJc w:val="left"/>
      <w:pPr>
        <w:ind w:left="425" w:hanging="425"/>
      </w:pPr>
      <w:rPr>
        <w:rFonts w:hint="eastAsia"/>
      </w:rPr>
    </w:lvl>
    <w:lvl w:ilvl="1" w:tentative="0">
      <w:start w:val="1"/>
      <w:numFmt w:val="decimal"/>
      <w:pStyle w:val="85"/>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5"/>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71"/>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6"/>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91"/>
      <w:lvlText w:val="──"/>
      <w:lvlJc w:val="left"/>
      <w:pPr>
        <w:ind w:left="851" w:firstLine="0"/>
      </w:pPr>
      <w:rPr>
        <w:rFonts w:hint="eastAsia" w:ascii="宋体" w:hAnsi="等线 Light" w:eastAsia="宋体"/>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84"/>
      <w:suff w:val="nothing"/>
      <w:lvlText w:val="附录%1"/>
      <w:lvlJc w:val="left"/>
      <w:pPr>
        <w:ind w:left="0" w:firstLine="0"/>
      </w:pPr>
      <w:rPr>
        <w:rFonts w:hint="eastAsia"/>
        <w:spacing w:val="100"/>
      </w:rPr>
    </w:lvl>
    <w:lvl w:ilvl="1" w:tentative="0">
      <w:start w:val="1"/>
      <w:numFmt w:val="decimal"/>
      <w:pStyle w:val="86"/>
      <w:suff w:val="nothing"/>
      <w:lvlText w:val="%1.%2　"/>
      <w:lvlJc w:val="left"/>
      <w:pPr>
        <w:ind w:left="0" w:firstLine="0"/>
      </w:pPr>
      <w:rPr>
        <w:rFonts w:hint="eastAsia" w:ascii="黑体" w:eastAsia="黑体"/>
        <w:b w:val="0"/>
        <w:i w:val="0"/>
        <w:sz w:val="21"/>
      </w:rPr>
    </w:lvl>
    <w:lvl w:ilvl="2" w:tentative="0">
      <w:start w:val="1"/>
      <w:numFmt w:val="decimal"/>
      <w:pStyle w:val="87"/>
      <w:suff w:val="nothing"/>
      <w:lvlText w:val="%1.%2.%3　"/>
      <w:lvlJc w:val="left"/>
      <w:pPr>
        <w:ind w:left="0" w:firstLine="0"/>
      </w:pPr>
      <w:rPr>
        <w:rFonts w:hint="eastAsia" w:ascii="黑体" w:eastAsia="黑体"/>
        <w:b w:val="0"/>
        <w:i w:val="0"/>
        <w:sz w:val="21"/>
      </w:rPr>
    </w:lvl>
    <w:lvl w:ilvl="3" w:tentative="0">
      <w:start w:val="1"/>
      <w:numFmt w:val="decimal"/>
      <w:pStyle w:val="89"/>
      <w:suff w:val="nothing"/>
      <w:lvlText w:val="%1.%2.%3.%4　"/>
      <w:lvlJc w:val="left"/>
      <w:pPr>
        <w:ind w:left="0" w:firstLine="0"/>
      </w:pPr>
      <w:rPr>
        <w:rFonts w:hint="eastAsia" w:ascii="黑体" w:eastAsia="黑体"/>
        <w:b w:val="0"/>
        <w:i w:val="0"/>
        <w:sz w:val="21"/>
      </w:rPr>
    </w:lvl>
    <w:lvl w:ilvl="4" w:tentative="0">
      <w:start w:val="1"/>
      <w:numFmt w:val="decimal"/>
      <w:pStyle w:val="90"/>
      <w:suff w:val="nothing"/>
      <w:lvlText w:val="%1.%2.%3.%4.%5　"/>
      <w:lvlJc w:val="left"/>
      <w:pPr>
        <w:ind w:left="0" w:firstLine="0"/>
      </w:pPr>
      <w:rPr>
        <w:rFonts w:hint="eastAsia" w:ascii="黑体" w:eastAsia="黑体"/>
        <w:b w:val="0"/>
        <w:i w:val="0"/>
        <w:sz w:val="21"/>
      </w:rPr>
    </w:lvl>
    <w:lvl w:ilvl="5" w:tentative="0">
      <w:start w:val="1"/>
      <w:numFmt w:val="decimal"/>
      <w:pStyle w:val="92"/>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90"/>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104"/>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6"/>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6"/>
      <w:suff w:val="nothing"/>
      <w:lvlText w:val="%1"/>
      <w:lvlJc w:val="left"/>
      <w:pPr>
        <w:ind w:left="0" w:firstLine="0"/>
      </w:pPr>
      <w:rPr>
        <w:rFonts w:hint="eastAsia"/>
      </w:rPr>
    </w:lvl>
    <w:lvl w:ilvl="1" w:tentative="0">
      <w:start w:val="1"/>
      <w:numFmt w:val="decimal"/>
      <w:pStyle w:val="6"/>
      <w:suff w:val="nothing"/>
      <w:lvlText w:val="%1%2　"/>
      <w:lvlJc w:val="left"/>
      <w:pPr>
        <w:ind w:left="0" w:firstLine="0"/>
      </w:pPr>
      <w:rPr>
        <w:rFonts w:hint="eastAsia" w:ascii="黑体" w:eastAsia="黑体"/>
        <w:b w:val="0"/>
        <w:i w:val="0"/>
        <w:sz w:val="21"/>
      </w:rPr>
    </w:lvl>
    <w:lvl w:ilvl="2" w:tentative="0">
      <w:start w:val="1"/>
      <w:numFmt w:val="decimal"/>
      <w:pStyle w:val="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pStyle w:val="73"/>
      <w:suff w:val="nothing"/>
      <w:lvlText w:val="%1%2.%3.%4　"/>
      <w:lvlJc w:val="left"/>
      <w:pPr>
        <w:ind w:left="0" w:firstLine="0"/>
      </w:pPr>
      <w:rPr>
        <w:rFonts w:hint="eastAsia" w:ascii="黑体" w:eastAsia="黑体"/>
        <w:b w:val="0"/>
        <w:i w:val="0"/>
        <w:sz w:val="21"/>
      </w:rPr>
    </w:lvl>
    <w:lvl w:ilvl="4" w:tentative="0">
      <w:start w:val="1"/>
      <w:numFmt w:val="decimal"/>
      <w:pStyle w:val="101"/>
      <w:suff w:val="nothing"/>
      <w:lvlText w:val="%1%2.%3.%4.%5　"/>
      <w:lvlJc w:val="left"/>
      <w:pPr>
        <w:ind w:left="0" w:firstLine="0"/>
      </w:pPr>
      <w:rPr>
        <w:rFonts w:hint="eastAsia" w:ascii="黑体" w:eastAsia="黑体"/>
        <w:b w:val="0"/>
        <w:i w:val="0"/>
        <w:sz w:val="21"/>
      </w:rPr>
    </w:lvl>
    <w:lvl w:ilvl="5" w:tentative="0">
      <w:start w:val="1"/>
      <w:numFmt w:val="decimal"/>
      <w:pStyle w:val="105"/>
      <w:suff w:val="nothing"/>
      <w:lvlText w:val="%1%2.%3.%4.%5.%6　"/>
      <w:lvlJc w:val="left"/>
      <w:pPr>
        <w:ind w:left="0" w:firstLine="0"/>
      </w:pPr>
      <w:rPr>
        <w:rFonts w:hint="eastAsia" w:ascii="黑体" w:eastAsia="黑体"/>
        <w:b w:val="0"/>
        <w:i w:val="0"/>
        <w:sz w:val="21"/>
      </w:rPr>
    </w:lvl>
    <w:lvl w:ilvl="6" w:tentative="0">
      <w:start w:val="1"/>
      <w:numFmt w:val="decimal"/>
      <w:pStyle w:val="109"/>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82"/>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9"/>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43"/>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7"/>
  </w:num>
  <w:num w:numId="2">
    <w:abstractNumId w:val="0"/>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attachedTemplate r:id="rId1"/>
  <w:trackRevisions w:val="1"/>
  <w:documentProtection w:edit="forms"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7EBE"/>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3CC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4050"/>
    <w:rsid w:val="000F4AEA"/>
    <w:rsid w:val="000F67E9"/>
    <w:rsid w:val="00104926"/>
    <w:rsid w:val="00113B1E"/>
    <w:rsid w:val="0011711C"/>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64A5"/>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327"/>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3962"/>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1F8"/>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F0ED8"/>
    <w:rsid w:val="007F0F63"/>
    <w:rsid w:val="007F4B36"/>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53420"/>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97EBE"/>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29D5"/>
    <w:rsid w:val="00942BF1"/>
    <w:rsid w:val="00945180"/>
    <w:rsid w:val="00945428"/>
    <w:rsid w:val="0094607B"/>
    <w:rsid w:val="00953604"/>
    <w:rsid w:val="0095496B"/>
    <w:rsid w:val="00960F1E"/>
    <w:rsid w:val="009610DC"/>
    <w:rsid w:val="00961490"/>
    <w:rsid w:val="0096381A"/>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9DF"/>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02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4C8D"/>
    <w:rsid w:val="00C25FE2"/>
    <w:rsid w:val="00C26B53"/>
    <w:rsid w:val="00C279B2"/>
    <w:rsid w:val="00C33E50"/>
    <w:rsid w:val="00C34C20"/>
    <w:rsid w:val="00C35A3E"/>
    <w:rsid w:val="00C42130"/>
    <w:rsid w:val="00C423A4"/>
    <w:rsid w:val="00C423E3"/>
    <w:rsid w:val="00C44BF5"/>
    <w:rsid w:val="00C47C06"/>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87E06"/>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E0350"/>
    <w:rsid w:val="00EE0719"/>
    <w:rsid w:val="00EE0E80"/>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2CC7A0F"/>
    <w:rsid w:val="042518DB"/>
    <w:rsid w:val="071A1DB1"/>
    <w:rsid w:val="089B6610"/>
    <w:rsid w:val="09D26061"/>
    <w:rsid w:val="0B795B85"/>
    <w:rsid w:val="0F6D234D"/>
    <w:rsid w:val="0FA405E3"/>
    <w:rsid w:val="1059497B"/>
    <w:rsid w:val="109A0F5B"/>
    <w:rsid w:val="11162294"/>
    <w:rsid w:val="13BA01BF"/>
    <w:rsid w:val="16A3468C"/>
    <w:rsid w:val="17B27852"/>
    <w:rsid w:val="1BAB226E"/>
    <w:rsid w:val="1DAA45DA"/>
    <w:rsid w:val="213259A0"/>
    <w:rsid w:val="2400716D"/>
    <w:rsid w:val="26284BE7"/>
    <w:rsid w:val="284E3DF5"/>
    <w:rsid w:val="28AA3FD9"/>
    <w:rsid w:val="2A007C29"/>
    <w:rsid w:val="2B4F2C16"/>
    <w:rsid w:val="2B6B3923"/>
    <w:rsid w:val="2CB46A07"/>
    <w:rsid w:val="2DC23B73"/>
    <w:rsid w:val="2F996B56"/>
    <w:rsid w:val="30801AC4"/>
    <w:rsid w:val="31C36484"/>
    <w:rsid w:val="348A29CC"/>
    <w:rsid w:val="353A367A"/>
    <w:rsid w:val="37283483"/>
    <w:rsid w:val="37E07842"/>
    <w:rsid w:val="3A5C7AB3"/>
    <w:rsid w:val="3AF85078"/>
    <w:rsid w:val="3CA607D0"/>
    <w:rsid w:val="3ECF60F0"/>
    <w:rsid w:val="424A4629"/>
    <w:rsid w:val="439360AB"/>
    <w:rsid w:val="469177D7"/>
    <w:rsid w:val="4A2A68D0"/>
    <w:rsid w:val="4C2D5FA6"/>
    <w:rsid w:val="4D066E1B"/>
    <w:rsid w:val="4EB278A0"/>
    <w:rsid w:val="4F3D0246"/>
    <w:rsid w:val="555B0286"/>
    <w:rsid w:val="57654747"/>
    <w:rsid w:val="57D4431F"/>
    <w:rsid w:val="5DD961EC"/>
    <w:rsid w:val="5FB05672"/>
    <w:rsid w:val="62965B13"/>
    <w:rsid w:val="633640E0"/>
    <w:rsid w:val="67BD3FB5"/>
    <w:rsid w:val="6DB416FA"/>
    <w:rsid w:val="70001CFE"/>
    <w:rsid w:val="73612AB3"/>
    <w:rsid w:val="76191423"/>
    <w:rsid w:val="76C202BB"/>
    <w:rsid w:val="770F7EB3"/>
    <w:rsid w:val="78152691"/>
    <w:rsid w:val="7BC90EC6"/>
    <w:rsid w:val="7E965505"/>
    <w:rsid w:val="7EC00FD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40"/>
    <w:qFormat/>
    <w:uiPriority w:val="0"/>
    <w:pPr>
      <w:keepNext/>
      <w:keepLines/>
      <w:spacing w:before="340" w:after="330" w:line="578" w:lineRule="auto"/>
      <w:outlineLvl w:val="0"/>
    </w:pPr>
    <w:rPr>
      <w:b/>
      <w:bCs/>
      <w:kern w:val="44"/>
      <w:sz w:val="44"/>
      <w:szCs w:val="44"/>
    </w:rPr>
  </w:style>
  <w:style w:type="paragraph" w:styleId="3">
    <w:name w:val="heading 2"/>
    <w:basedOn w:val="4"/>
    <w:next w:val="1"/>
    <w:link w:val="41"/>
    <w:qFormat/>
    <w:uiPriority w:val="0"/>
    <w:pPr>
      <w:outlineLvl w:val="1"/>
    </w:pPr>
    <w:rPr>
      <w:rFonts w:ascii="黑体" w:hAnsi="黑体" w:eastAsia="黑体"/>
      <w:color w:val="auto"/>
    </w:rPr>
  </w:style>
  <w:style w:type="paragraph" w:styleId="8">
    <w:name w:val="heading 3"/>
    <w:basedOn w:val="1"/>
    <w:next w:val="1"/>
    <w:link w:val="42"/>
    <w:qFormat/>
    <w:uiPriority w:val="0"/>
    <w:pPr>
      <w:keepNext/>
      <w:keepLines/>
      <w:spacing w:before="260" w:after="260" w:line="416" w:lineRule="auto"/>
      <w:outlineLvl w:val="2"/>
    </w:pPr>
    <w:rPr>
      <w:b/>
      <w:bCs/>
      <w:sz w:val="32"/>
      <w:szCs w:val="32"/>
    </w:rPr>
  </w:style>
  <w:style w:type="paragraph" w:styleId="9">
    <w:name w:val="heading 4"/>
    <w:basedOn w:val="1"/>
    <w:next w:val="1"/>
    <w:link w:val="43"/>
    <w:qFormat/>
    <w:uiPriority w:val="0"/>
    <w:pPr>
      <w:keepNext/>
      <w:keepLines/>
      <w:spacing w:before="280" w:after="290" w:line="376" w:lineRule="auto"/>
      <w:outlineLvl w:val="3"/>
    </w:pPr>
    <w:rPr>
      <w:rFonts w:ascii="Arial" w:hAnsi="Arial" w:eastAsia="黑体"/>
      <w:b/>
      <w:bCs/>
      <w:sz w:val="28"/>
      <w:szCs w:val="28"/>
    </w:rPr>
  </w:style>
  <w:style w:type="paragraph" w:styleId="10">
    <w:name w:val="heading 5"/>
    <w:basedOn w:val="1"/>
    <w:next w:val="1"/>
    <w:link w:val="44"/>
    <w:qFormat/>
    <w:uiPriority w:val="0"/>
    <w:pPr>
      <w:keepNext/>
      <w:keepLines/>
      <w:adjustRightInd/>
      <w:spacing w:before="280" w:after="290" w:line="376" w:lineRule="auto"/>
      <w:outlineLvl w:val="4"/>
    </w:pPr>
    <w:rPr>
      <w:b/>
      <w:bCs/>
      <w:sz w:val="28"/>
      <w:szCs w:val="28"/>
    </w:rPr>
  </w:style>
  <w:style w:type="paragraph" w:styleId="11">
    <w:name w:val="heading 6"/>
    <w:basedOn w:val="1"/>
    <w:next w:val="1"/>
    <w:link w:val="45"/>
    <w:qFormat/>
    <w:uiPriority w:val="0"/>
    <w:pPr>
      <w:keepNext/>
      <w:keepLines/>
      <w:adjustRightInd/>
      <w:spacing w:before="240" w:after="64" w:line="320" w:lineRule="auto"/>
      <w:outlineLvl w:val="5"/>
    </w:pPr>
    <w:rPr>
      <w:rFonts w:ascii="Arial" w:hAnsi="Arial" w:eastAsia="黑体"/>
      <w:b/>
      <w:bCs/>
      <w:sz w:val="24"/>
      <w:szCs w:val="24"/>
    </w:rPr>
  </w:style>
  <w:style w:type="paragraph" w:styleId="12">
    <w:name w:val="heading 7"/>
    <w:basedOn w:val="1"/>
    <w:next w:val="1"/>
    <w:link w:val="46"/>
    <w:qFormat/>
    <w:uiPriority w:val="0"/>
    <w:pPr>
      <w:keepNext/>
      <w:keepLines/>
      <w:adjustRightInd/>
      <w:spacing w:before="240" w:after="64" w:line="320" w:lineRule="auto"/>
      <w:outlineLvl w:val="6"/>
    </w:pPr>
    <w:rPr>
      <w:b/>
      <w:bCs/>
      <w:sz w:val="24"/>
      <w:szCs w:val="24"/>
    </w:rPr>
  </w:style>
  <w:style w:type="paragraph" w:styleId="13">
    <w:name w:val="heading 8"/>
    <w:basedOn w:val="1"/>
    <w:next w:val="1"/>
    <w:link w:val="47"/>
    <w:qFormat/>
    <w:uiPriority w:val="0"/>
    <w:pPr>
      <w:keepNext/>
      <w:keepLines/>
      <w:adjustRightInd/>
      <w:spacing w:before="240" w:after="64" w:line="320" w:lineRule="auto"/>
      <w:outlineLvl w:val="7"/>
    </w:pPr>
    <w:rPr>
      <w:rFonts w:ascii="Arial" w:hAnsi="Arial" w:eastAsia="黑体"/>
      <w:sz w:val="24"/>
      <w:szCs w:val="24"/>
    </w:rPr>
  </w:style>
  <w:style w:type="paragraph" w:styleId="14">
    <w:name w:val="heading 9"/>
    <w:basedOn w:val="1"/>
    <w:next w:val="1"/>
    <w:link w:val="48"/>
    <w:qFormat/>
    <w:uiPriority w:val="0"/>
    <w:pPr>
      <w:keepNext/>
      <w:keepLines/>
      <w:adjustRightInd/>
      <w:spacing w:before="240" w:after="64" w:line="320" w:lineRule="auto"/>
      <w:outlineLvl w:val="8"/>
    </w:pPr>
    <w:rPr>
      <w:rFonts w:ascii="Arial" w:hAnsi="Arial" w:eastAsia="黑体"/>
    </w:rPr>
  </w:style>
  <w:style w:type="character" w:default="1" w:styleId="33">
    <w:name w:val="Default Paragraph Font"/>
    <w:unhideWhenUsed/>
    <w:qFormat/>
    <w:uiPriority w:val="1"/>
  </w:style>
  <w:style w:type="table" w:default="1" w:styleId="31">
    <w:name w:val="Normal Table"/>
    <w:unhideWhenUsed/>
    <w:qFormat/>
    <w:uiPriority w:val="99"/>
    <w:tblPr>
      <w:tblCellMar>
        <w:top w:w="0" w:type="dxa"/>
        <w:left w:w="108" w:type="dxa"/>
        <w:bottom w:w="0" w:type="dxa"/>
        <w:right w:w="108" w:type="dxa"/>
      </w:tblCellMar>
    </w:tblPr>
  </w:style>
  <w:style w:type="paragraph" w:customStyle="1" w:styleId="4">
    <w:name w:val="标准文件_一级无标题"/>
    <w:basedOn w:val="5"/>
    <w:qFormat/>
    <w:uiPriority w:val="0"/>
    <w:pPr>
      <w:spacing w:before="0" w:beforeLines="0" w:after="0" w:afterLines="0"/>
      <w:outlineLvl w:val="9"/>
    </w:pPr>
    <w:rPr>
      <w:rFonts w:ascii="宋体" w:eastAsia="宋体"/>
    </w:rPr>
  </w:style>
  <w:style w:type="paragraph" w:customStyle="1" w:styleId="5">
    <w:name w:val="标准文件_一级条标题"/>
    <w:basedOn w:val="6"/>
    <w:next w:val="7"/>
    <w:qFormat/>
    <w:uiPriority w:val="0"/>
    <w:pPr>
      <w:numPr>
        <w:ilvl w:val="2"/>
      </w:numPr>
      <w:spacing w:before="50" w:beforeLines="50" w:after="50" w:afterLines="50"/>
      <w:outlineLvl w:val="1"/>
    </w:pPr>
  </w:style>
  <w:style w:type="paragraph" w:customStyle="1" w:styleId="6">
    <w:name w:val="标准文件_章标题"/>
    <w:next w:val="7"/>
    <w:qFormat/>
    <w:uiPriority w:val="0"/>
    <w:pPr>
      <w:numPr>
        <w:ilvl w:val="1"/>
        <w:numId w:val="1"/>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7">
    <w:name w:val="标准文件_段"/>
    <w:link w:val="64"/>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styleId="15">
    <w:name w:val="toc 7"/>
    <w:basedOn w:val="1"/>
    <w:next w:val="1"/>
    <w:unhideWhenUsed/>
    <w:qFormat/>
    <w:uiPriority w:val="39"/>
    <w:pPr>
      <w:tabs>
        <w:tab w:val="right" w:leader="dot" w:pos="9344"/>
      </w:tabs>
      <w:spacing w:line="300" w:lineRule="exact"/>
      <w:ind w:left="1259"/>
    </w:pPr>
    <w:rPr>
      <w:rFonts w:ascii="宋体"/>
    </w:rPr>
  </w:style>
  <w:style w:type="paragraph" w:styleId="16">
    <w:name w:val="Normal Indent"/>
    <w:basedOn w:val="1"/>
    <w:qFormat/>
    <w:uiPriority w:val="0"/>
    <w:pPr>
      <w:ind w:firstLine="420"/>
    </w:pPr>
  </w:style>
  <w:style w:type="paragraph" w:styleId="17">
    <w:name w:val="annotation text"/>
    <w:basedOn w:val="1"/>
    <w:semiHidden/>
    <w:unhideWhenUsed/>
    <w:qFormat/>
    <w:uiPriority w:val="99"/>
    <w:pPr>
      <w:jc w:val="left"/>
    </w:pPr>
  </w:style>
  <w:style w:type="paragraph" w:styleId="18">
    <w:name w:val="Body Text"/>
    <w:basedOn w:val="1"/>
    <w:link w:val="49"/>
    <w:qFormat/>
    <w:uiPriority w:val="0"/>
    <w:pPr>
      <w:spacing w:after="120"/>
    </w:pPr>
  </w:style>
  <w:style w:type="paragraph" w:styleId="19">
    <w:name w:val="toc 5"/>
    <w:basedOn w:val="1"/>
    <w:next w:val="1"/>
    <w:unhideWhenUsed/>
    <w:qFormat/>
    <w:uiPriority w:val="39"/>
    <w:pPr>
      <w:ind w:left="839"/>
    </w:pPr>
    <w:rPr>
      <w:rFonts w:ascii="宋体"/>
    </w:rPr>
  </w:style>
  <w:style w:type="paragraph" w:styleId="20">
    <w:name w:val="toc 3"/>
    <w:basedOn w:val="1"/>
    <w:next w:val="1"/>
    <w:unhideWhenUsed/>
    <w:qFormat/>
    <w:uiPriority w:val="39"/>
    <w:pPr>
      <w:spacing w:line="300" w:lineRule="exact"/>
      <w:ind w:left="420"/>
    </w:pPr>
    <w:rPr>
      <w:rFonts w:ascii="宋体"/>
    </w:rPr>
  </w:style>
  <w:style w:type="paragraph" w:styleId="21">
    <w:name w:val="Balloon Text"/>
    <w:basedOn w:val="1"/>
    <w:link w:val="50"/>
    <w:unhideWhenUsed/>
    <w:qFormat/>
    <w:uiPriority w:val="99"/>
    <w:rPr>
      <w:sz w:val="18"/>
      <w:szCs w:val="18"/>
    </w:rPr>
  </w:style>
  <w:style w:type="paragraph" w:styleId="22">
    <w:name w:val="footer"/>
    <w:basedOn w:val="1"/>
    <w:link w:val="51"/>
    <w:qFormat/>
    <w:uiPriority w:val="99"/>
    <w:pPr>
      <w:tabs>
        <w:tab w:val="center" w:pos="4153"/>
        <w:tab w:val="right" w:pos="8306"/>
      </w:tabs>
      <w:adjustRightInd/>
      <w:snapToGrid w:val="0"/>
      <w:spacing w:line="240" w:lineRule="auto"/>
      <w:jc w:val="right"/>
    </w:pPr>
    <w:rPr>
      <w:rFonts w:ascii="宋体"/>
      <w:sz w:val="18"/>
      <w:szCs w:val="18"/>
    </w:rPr>
  </w:style>
  <w:style w:type="paragraph" w:styleId="23">
    <w:name w:val="header"/>
    <w:basedOn w:val="1"/>
    <w:link w:val="52"/>
    <w:qFormat/>
    <w:uiPriority w:val="99"/>
    <w:pPr>
      <w:tabs>
        <w:tab w:val="center" w:pos="4153"/>
        <w:tab w:val="right" w:pos="8306"/>
      </w:tabs>
      <w:adjustRightInd/>
      <w:snapToGrid w:val="0"/>
      <w:jc w:val="center"/>
    </w:pPr>
    <w:rPr>
      <w:sz w:val="18"/>
      <w:szCs w:val="18"/>
    </w:rPr>
  </w:style>
  <w:style w:type="paragraph" w:styleId="24">
    <w:name w:val="toc 1"/>
    <w:basedOn w:val="1"/>
    <w:next w:val="1"/>
    <w:unhideWhenUsed/>
    <w:qFormat/>
    <w:uiPriority w:val="39"/>
    <w:rPr>
      <w:rFonts w:ascii="宋体"/>
    </w:rPr>
  </w:style>
  <w:style w:type="paragraph" w:styleId="25">
    <w:name w:val="toc 4"/>
    <w:basedOn w:val="1"/>
    <w:next w:val="1"/>
    <w:unhideWhenUsed/>
    <w:qFormat/>
    <w:uiPriority w:val="39"/>
    <w:pPr>
      <w:tabs>
        <w:tab w:val="right" w:leader="dot" w:pos="9344"/>
      </w:tabs>
      <w:spacing w:line="300" w:lineRule="exact"/>
      <w:ind w:left="629"/>
    </w:pPr>
    <w:rPr>
      <w:rFonts w:ascii="宋体"/>
    </w:rPr>
  </w:style>
  <w:style w:type="paragraph" w:styleId="26">
    <w:name w:val="footnote text"/>
    <w:basedOn w:val="1"/>
    <w:next w:val="1"/>
    <w:link w:val="53"/>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7">
    <w:name w:val="toc 6"/>
    <w:basedOn w:val="1"/>
    <w:next w:val="1"/>
    <w:unhideWhenUsed/>
    <w:qFormat/>
    <w:uiPriority w:val="39"/>
    <w:pPr>
      <w:spacing w:line="300" w:lineRule="exact"/>
      <w:ind w:left="1049"/>
    </w:pPr>
    <w:rPr>
      <w:rFonts w:ascii="宋体"/>
    </w:rPr>
  </w:style>
  <w:style w:type="paragraph" w:styleId="28">
    <w:name w:val="table of figures"/>
    <w:basedOn w:val="1"/>
    <w:next w:val="1"/>
    <w:semiHidden/>
    <w:qFormat/>
    <w:uiPriority w:val="0"/>
    <w:pPr>
      <w:adjustRightInd/>
      <w:spacing w:line="240" w:lineRule="auto"/>
      <w:jc w:val="left"/>
    </w:pPr>
    <w:rPr>
      <w:szCs w:val="24"/>
    </w:rPr>
  </w:style>
  <w:style w:type="paragraph" w:styleId="29">
    <w:name w:val="toc 2"/>
    <w:basedOn w:val="1"/>
    <w:next w:val="1"/>
    <w:unhideWhenUsed/>
    <w:qFormat/>
    <w:uiPriority w:val="39"/>
    <w:pPr>
      <w:tabs>
        <w:tab w:val="right" w:leader="dot" w:pos="9344"/>
      </w:tabs>
      <w:spacing w:line="300" w:lineRule="exact"/>
      <w:ind w:left="210"/>
    </w:pPr>
    <w:rPr>
      <w:rFonts w:ascii="宋体"/>
    </w:rPr>
  </w:style>
  <w:style w:type="paragraph" w:styleId="30">
    <w:name w:val="Title"/>
    <w:basedOn w:val="1"/>
    <w:link w:val="54"/>
    <w:qFormat/>
    <w:uiPriority w:val="0"/>
    <w:pPr>
      <w:spacing w:before="240" w:after="60"/>
      <w:jc w:val="center"/>
      <w:outlineLvl w:val="0"/>
    </w:pPr>
    <w:rPr>
      <w:rFonts w:ascii="Arial" w:hAnsi="Arial" w:cs="Arial"/>
      <w:b/>
      <w:bCs/>
      <w:sz w:val="32"/>
      <w:szCs w:val="32"/>
    </w:rPr>
  </w:style>
  <w:style w:type="table" w:styleId="32">
    <w:name w:val="Table Grid"/>
    <w:basedOn w:val="3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qFormat/>
    <w:uiPriority w:val="22"/>
    <w:rPr>
      <w:b/>
      <w:bCs/>
    </w:rPr>
  </w:style>
  <w:style w:type="character" w:styleId="35">
    <w:name w:val="page number"/>
    <w:qFormat/>
    <w:uiPriority w:val="0"/>
    <w:rPr>
      <w:rFonts w:ascii="宋体" w:hAnsi="Times New Roman" w:eastAsia="宋体"/>
      <w:sz w:val="18"/>
    </w:rPr>
  </w:style>
  <w:style w:type="character" w:styleId="36">
    <w:name w:val="Emphasis"/>
    <w:qFormat/>
    <w:uiPriority w:val="20"/>
    <w:rPr>
      <w:i/>
      <w:iCs/>
    </w:rPr>
  </w:style>
  <w:style w:type="character" w:styleId="37">
    <w:name w:val="Hyperlink"/>
    <w:qFormat/>
    <w:uiPriority w:val="99"/>
    <w:rPr>
      <w:rFonts w:ascii="宋体" w:hAnsi="Times New Roman" w:eastAsia="宋体"/>
      <w:color w:val="auto"/>
      <w:spacing w:val="0"/>
      <w:w w:val="100"/>
      <w:position w:val="0"/>
      <w:sz w:val="21"/>
      <w:u w:val="none"/>
      <w:vertAlign w:val="baseline"/>
    </w:rPr>
  </w:style>
  <w:style w:type="character" w:styleId="38">
    <w:name w:val="annotation reference"/>
    <w:qFormat/>
    <w:uiPriority w:val="99"/>
    <w:rPr>
      <w:sz w:val="21"/>
      <w:szCs w:val="21"/>
    </w:rPr>
  </w:style>
  <w:style w:type="character" w:styleId="39">
    <w:name w:val="footnote reference"/>
    <w:semiHidden/>
    <w:qFormat/>
    <w:uiPriority w:val="0"/>
    <w:rPr>
      <w:rFonts w:ascii="宋体" w:hAnsi="宋体" w:eastAsia="宋体" w:cs="Times New Roman"/>
      <w:spacing w:val="0"/>
      <w:sz w:val="18"/>
      <w:vertAlign w:val="superscript"/>
    </w:rPr>
  </w:style>
  <w:style w:type="character" w:customStyle="1" w:styleId="40">
    <w:name w:val="标题 1 字符"/>
    <w:link w:val="2"/>
    <w:qFormat/>
    <w:uiPriority w:val="0"/>
    <w:rPr>
      <w:b/>
      <w:bCs/>
      <w:kern w:val="44"/>
      <w:sz w:val="44"/>
      <w:szCs w:val="44"/>
    </w:rPr>
  </w:style>
  <w:style w:type="character" w:customStyle="1" w:styleId="41">
    <w:name w:val="标题 2 字符"/>
    <w:link w:val="3"/>
    <w:qFormat/>
    <w:uiPriority w:val="0"/>
    <w:rPr>
      <w:rFonts w:ascii="黑体" w:hAnsi="黑体" w:eastAsia="黑体" w:cs="Times New Roman"/>
      <w:color w:val="auto"/>
      <w:sz w:val="21"/>
      <w:lang w:val="en-US" w:eastAsia="zh-CN" w:bidi="ar-SA"/>
    </w:rPr>
  </w:style>
  <w:style w:type="character" w:customStyle="1" w:styleId="42">
    <w:name w:val="标题 3 字符"/>
    <w:link w:val="8"/>
    <w:qFormat/>
    <w:uiPriority w:val="0"/>
    <w:rPr>
      <w:b/>
      <w:bCs/>
      <w:kern w:val="2"/>
      <w:sz w:val="32"/>
      <w:szCs w:val="32"/>
    </w:rPr>
  </w:style>
  <w:style w:type="character" w:customStyle="1" w:styleId="43">
    <w:name w:val="标题 4 字符"/>
    <w:link w:val="9"/>
    <w:qFormat/>
    <w:uiPriority w:val="0"/>
    <w:rPr>
      <w:rFonts w:ascii="Arial" w:hAnsi="Arial" w:eastAsia="黑体"/>
      <w:b/>
      <w:bCs/>
      <w:kern w:val="2"/>
      <w:sz w:val="28"/>
      <w:szCs w:val="28"/>
    </w:rPr>
  </w:style>
  <w:style w:type="character" w:customStyle="1" w:styleId="44">
    <w:name w:val="标题 5 字符"/>
    <w:link w:val="10"/>
    <w:qFormat/>
    <w:uiPriority w:val="0"/>
    <w:rPr>
      <w:b/>
      <w:bCs/>
      <w:kern w:val="2"/>
      <w:sz w:val="28"/>
      <w:szCs w:val="28"/>
    </w:rPr>
  </w:style>
  <w:style w:type="character" w:customStyle="1" w:styleId="45">
    <w:name w:val="标题 6 字符"/>
    <w:link w:val="11"/>
    <w:qFormat/>
    <w:uiPriority w:val="0"/>
    <w:rPr>
      <w:rFonts w:ascii="Arial" w:hAnsi="Arial" w:eastAsia="黑体"/>
      <w:b/>
      <w:bCs/>
      <w:kern w:val="2"/>
      <w:sz w:val="24"/>
      <w:szCs w:val="24"/>
    </w:rPr>
  </w:style>
  <w:style w:type="character" w:customStyle="1" w:styleId="46">
    <w:name w:val="标题 7 字符"/>
    <w:link w:val="12"/>
    <w:qFormat/>
    <w:uiPriority w:val="0"/>
    <w:rPr>
      <w:b/>
      <w:bCs/>
      <w:kern w:val="2"/>
      <w:sz w:val="24"/>
      <w:szCs w:val="24"/>
    </w:rPr>
  </w:style>
  <w:style w:type="character" w:customStyle="1" w:styleId="47">
    <w:name w:val="标题 8 字符"/>
    <w:link w:val="13"/>
    <w:qFormat/>
    <w:uiPriority w:val="0"/>
    <w:rPr>
      <w:rFonts w:ascii="Arial" w:hAnsi="Arial" w:eastAsia="黑体"/>
      <w:kern w:val="2"/>
      <w:sz w:val="24"/>
      <w:szCs w:val="24"/>
    </w:rPr>
  </w:style>
  <w:style w:type="character" w:customStyle="1" w:styleId="48">
    <w:name w:val="标题 9 字符"/>
    <w:link w:val="14"/>
    <w:qFormat/>
    <w:uiPriority w:val="0"/>
    <w:rPr>
      <w:rFonts w:ascii="Arial" w:hAnsi="Arial" w:eastAsia="黑体"/>
      <w:kern w:val="2"/>
      <w:sz w:val="21"/>
      <w:szCs w:val="21"/>
    </w:rPr>
  </w:style>
  <w:style w:type="character" w:customStyle="1" w:styleId="49">
    <w:name w:val="正文文本 字符"/>
    <w:link w:val="18"/>
    <w:qFormat/>
    <w:uiPriority w:val="0"/>
    <w:rPr>
      <w:kern w:val="2"/>
      <w:sz w:val="21"/>
      <w:szCs w:val="21"/>
    </w:rPr>
  </w:style>
  <w:style w:type="character" w:customStyle="1" w:styleId="50">
    <w:name w:val="批注框文本 字符"/>
    <w:link w:val="21"/>
    <w:semiHidden/>
    <w:qFormat/>
    <w:uiPriority w:val="99"/>
    <w:rPr>
      <w:kern w:val="2"/>
      <w:sz w:val="18"/>
      <w:szCs w:val="18"/>
    </w:rPr>
  </w:style>
  <w:style w:type="character" w:customStyle="1" w:styleId="51">
    <w:name w:val="页脚 字符"/>
    <w:link w:val="22"/>
    <w:qFormat/>
    <w:uiPriority w:val="99"/>
    <w:rPr>
      <w:rFonts w:ascii="宋体"/>
      <w:kern w:val="2"/>
      <w:sz w:val="18"/>
      <w:szCs w:val="18"/>
    </w:rPr>
  </w:style>
  <w:style w:type="character" w:customStyle="1" w:styleId="52">
    <w:name w:val="页眉 字符"/>
    <w:link w:val="23"/>
    <w:qFormat/>
    <w:uiPriority w:val="99"/>
    <w:rPr>
      <w:kern w:val="2"/>
      <w:sz w:val="18"/>
      <w:szCs w:val="18"/>
    </w:rPr>
  </w:style>
  <w:style w:type="character" w:customStyle="1" w:styleId="53">
    <w:name w:val="脚注文本 字符"/>
    <w:link w:val="26"/>
    <w:semiHidden/>
    <w:qFormat/>
    <w:uiPriority w:val="0"/>
    <w:rPr>
      <w:rFonts w:ascii="宋体"/>
      <w:kern w:val="2"/>
      <w:sz w:val="18"/>
      <w:szCs w:val="18"/>
    </w:rPr>
  </w:style>
  <w:style w:type="character" w:customStyle="1" w:styleId="54">
    <w:name w:val="标题 字符"/>
    <w:link w:val="30"/>
    <w:qFormat/>
    <w:uiPriority w:val="0"/>
    <w:rPr>
      <w:rFonts w:ascii="Arial" w:hAnsi="Arial" w:cs="Arial"/>
      <w:b/>
      <w:bCs/>
      <w:kern w:val="2"/>
      <w:sz w:val="32"/>
      <w:szCs w:val="32"/>
    </w:rPr>
  </w:style>
  <w:style w:type="paragraph" w:styleId="55">
    <w:name w:val="Quote"/>
    <w:basedOn w:val="1"/>
    <w:next w:val="1"/>
    <w:link w:val="56"/>
    <w:qFormat/>
    <w:uiPriority w:val="29"/>
    <w:rPr>
      <w:i/>
      <w:iCs/>
      <w:color w:val="000000"/>
    </w:rPr>
  </w:style>
  <w:style w:type="character" w:customStyle="1" w:styleId="56">
    <w:name w:val="引用 字符"/>
    <w:link w:val="55"/>
    <w:qFormat/>
    <w:uiPriority w:val="29"/>
    <w:rPr>
      <w:i/>
      <w:iCs/>
      <w:color w:val="000000"/>
      <w:kern w:val="2"/>
      <w:sz w:val="21"/>
      <w:szCs w:val="21"/>
    </w:rPr>
  </w:style>
  <w:style w:type="paragraph" w:customStyle="1" w:styleId="57">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8">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9">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60">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61">
    <w:name w:val="标准书眉一"/>
    <w:qFormat/>
    <w:uiPriority w:val="0"/>
    <w:pPr>
      <w:jc w:val="both"/>
    </w:pPr>
    <w:rPr>
      <w:rFonts w:ascii="Times New Roman" w:hAnsi="Times New Roman" w:eastAsia="宋体" w:cs="Times New Roman"/>
      <w:lang w:val="en-US" w:eastAsia="zh-CN" w:bidi="ar-SA"/>
    </w:rPr>
  </w:style>
  <w:style w:type="paragraph" w:customStyle="1" w:styleId="62">
    <w:name w:val="标准文件_ICS"/>
    <w:basedOn w:val="1"/>
    <w:qFormat/>
    <w:uiPriority w:val="0"/>
    <w:pPr>
      <w:spacing w:line="0" w:lineRule="atLeast"/>
    </w:pPr>
    <w:rPr>
      <w:rFonts w:ascii="黑体" w:hAnsi="宋体" w:eastAsia="黑体"/>
    </w:rPr>
  </w:style>
  <w:style w:type="paragraph" w:customStyle="1" w:styleId="63">
    <w:name w:val="标准文件_标准正文"/>
    <w:basedOn w:val="1"/>
    <w:next w:val="7"/>
    <w:qFormat/>
    <w:uiPriority w:val="0"/>
    <w:pPr>
      <w:snapToGrid w:val="0"/>
      <w:ind w:firstLine="200" w:firstLineChars="200"/>
    </w:pPr>
    <w:rPr>
      <w:kern w:val="0"/>
    </w:rPr>
  </w:style>
  <w:style w:type="character" w:customStyle="1" w:styleId="64">
    <w:name w:val="标准文件_段 Char"/>
    <w:link w:val="7"/>
    <w:qFormat/>
    <w:uiPriority w:val="0"/>
    <w:rPr>
      <w:rFonts w:ascii="宋体" w:hAnsi="Times New Roman"/>
      <w:sz w:val="21"/>
    </w:rPr>
  </w:style>
  <w:style w:type="paragraph" w:customStyle="1" w:styleId="65">
    <w:name w:val="标准文件_版本"/>
    <w:basedOn w:val="63"/>
    <w:qFormat/>
    <w:uiPriority w:val="0"/>
    <w:pPr>
      <w:adjustRightInd/>
      <w:snapToGrid/>
      <w:ind w:firstLine="0" w:firstLineChars="0"/>
    </w:pPr>
    <w:rPr>
      <w:rFonts w:ascii="宋体" w:hAnsi="宋体"/>
      <w:kern w:val="2"/>
    </w:rPr>
  </w:style>
  <w:style w:type="paragraph" w:customStyle="1" w:styleId="66">
    <w:name w:val="标准文件_标准部门"/>
    <w:basedOn w:val="1"/>
    <w:qFormat/>
    <w:uiPriority w:val="0"/>
    <w:pPr>
      <w:jc w:val="center"/>
    </w:pPr>
    <w:rPr>
      <w:rFonts w:ascii="黑体" w:eastAsia="黑体"/>
      <w:kern w:val="0"/>
      <w:sz w:val="44"/>
    </w:rPr>
  </w:style>
  <w:style w:type="paragraph" w:customStyle="1" w:styleId="67">
    <w:name w:val="标准文件_标准代替"/>
    <w:basedOn w:val="1"/>
    <w:next w:val="1"/>
    <w:qFormat/>
    <w:uiPriority w:val="0"/>
    <w:pPr>
      <w:spacing w:line="310" w:lineRule="exact"/>
      <w:jc w:val="right"/>
    </w:pPr>
    <w:rPr>
      <w:rFonts w:ascii="宋体" w:hAnsi="宋体"/>
      <w:kern w:val="0"/>
    </w:rPr>
  </w:style>
  <w:style w:type="paragraph" w:customStyle="1" w:styleId="68">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9">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70">
    <w:name w:val="标准文件_页眉偶数页"/>
    <w:basedOn w:val="69"/>
    <w:next w:val="1"/>
    <w:qFormat/>
    <w:uiPriority w:val="0"/>
    <w:pPr>
      <w:jc w:val="left"/>
    </w:pPr>
  </w:style>
  <w:style w:type="paragraph" w:customStyle="1" w:styleId="71">
    <w:name w:val="标准文件_参考文献标题"/>
    <w:basedOn w:val="1"/>
    <w:next w:val="1"/>
    <w:qFormat/>
    <w:uiPriority w:val="0"/>
    <w:pPr>
      <w:widowControl/>
      <w:shd w:val="clear" w:color="FFFFFF" w:fill="FFFFFF"/>
      <w:adjustRightInd/>
      <w:spacing w:before="560" w:after="50" w:afterLines="50" w:line="240" w:lineRule="auto"/>
      <w:jc w:val="center"/>
      <w:outlineLvl w:val="0"/>
    </w:pPr>
    <w:rPr>
      <w:rFonts w:ascii="黑体" w:eastAsia="黑体"/>
      <w:kern w:val="0"/>
    </w:rPr>
  </w:style>
  <w:style w:type="paragraph" w:customStyle="1" w:styleId="72">
    <w:name w:val="标准文件_参考文献条目"/>
    <w:qFormat/>
    <w:uiPriority w:val="0"/>
    <w:pPr>
      <w:numPr>
        <w:ilvl w:val="0"/>
        <w:numId w:val="2"/>
      </w:numPr>
    </w:pPr>
    <w:rPr>
      <w:rFonts w:ascii="宋体" w:hAnsi="Times New Roman" w:eastAsia="宋体" w:cs="Times New Roman"/>
      <w:lang w:val="en-US" w:eastAsia="zh-CN" w:bidi="ar-SA"/>
    </w:rPr>
  </w:style>
  <w:style w:type="paragraph" w:customStyle="1" w:styleId="73">
    <w:name w:val="标准文件_二级条标题"/>
    <w:next w:val="7"/>
    <w:qFormat/>
    <w:uiPriority w:val="0"/>
    <w:pPr>
      <w:widowControl w:val="0"/>
      <w:numPr>
        <w:ilvl w:val="3"/>
        <w:numId w:val="1"/>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74">
    <w:name w:val="标准文件_发布"/>
    <w:qFormat/>
    <w:uiPriority w:val="0"/>
    <w:rPr>
      <w:rFonts w:ascii="黑体" w:eastAsia="黑体"/>
      <w:spacing w:val="0"/>
      <w:w w:val="100"/>
      <w:position w:val="3"/>
      <w:sz w:val="28"/>
    </w:rPr>
  </w:style>
  <w:style w:type="paragraph" w:customStyle="1" w:styleId="75">
    <w:name w:val="标准文件_方框数字列项"/>
    <w:basedOn w:val="7"/>
    <w:qFormat/>
    <w:uiPriority w:val="0"/>
    <w:pPr>
      <w:numPr>
        <w:ilvl w:val="0"/>
        <w:numId w:val="3"/>
      </w:numPr>
      <w:ind w:firstLine="0" w:firstLineChars="0"/>
    </w:pPr>
  </w:style>
  <w:style w:type="paragraph" w:customStyle="1" w:styleId="76">
    <w:name w:val="标准文件_封面标准编号"/>
    <w:basedOn w:val="1"/>
    <w:next w:val="67"/>
    <w:qFormat/>
    <w:uiPriority w:val="0"/>
    <w:pPr>
      <w:spacing w:line="310" w:lineRule="exact"/>
      <w:jc w:val="right"/>
    </w:pPr>
    <w:rPr>
      <w:rFonts w:ascii="黑体" w:eastAsia="黑体"/>
      <w:kern w:val="0"/>
      <w:sz w:val="28"/>
    </w:rPr>
  </w:style>
  <w:style w:type="paragraph" w:customStyle="1" w:styleId="77">
    <w:name w:val="标准文件_封面标准分类号"/>
    <w:basedOn w:val="1"/>
    <w:qFormat/>
    <w:uiPriority w:val="0"/>
    <w:rPr>
      <w:rFonts w:ascii="黑体" w:eastAsia="黑体"/>
      <w:b/>
      <w:kern w:val="0"/>
      <w:sz w:val="28"/>
    </w:rPr>
  </w:style>
  <w:style w:type="paragraph" w:customStyle="1" w:styleId="78">
    <w:name w:val="标准文件_封面标准名称"/>
    <w:basedOn w:val="1"/>
    <w:qFormat/>
    <w:uiPriority w:val="0"/>
    <w:pPr>
      <w:spacing w:line="240" w:lineRule="auto"/>
      <w:jc w:val="center"/>
    </w:pPr>
    <w:rPr>
      <w:rFonts w:ascii="黑体" w:eastAsia="黑体"/>
      <w:kern w:val="0"/>
      <w:sz w:val="52"/>
    </w:rPr>
  </w:style>
  <w:style w:type="paragraph" w:customStyle="1" w:styleId="79">
    <w:name w:val="标准文件_封面标准英文名称"/>
    <w:basedOn w:val="1"/>
    <w:qFormat/>
    <w:uiPriority w:val="0"/>
    <w:pPr>
      <w:spacing w:line="240" w:lineRule="auto"/>
      <w:jc w:val="center"/>
    </w:pPr>
    <w:rPr>
      <w:rFonts w:ascii="黑体" w:eastAsia="黑体"/>
      <w:b/>
      <w:sz w:val="28"/>
    </w:rPr>
  </w:style>
  <w:style w:type="paragraph" w:customStyle="1" w:styleId="80">
    <w:name w:val="标准文件_封面发布日期"/>
    <w:basedOn w:val="1"/>
    <w:qFormat/>
    <w:uiPriority w:val="0"/>
    <w:pPr>
      <w:spacing w:line="310" w:lineRule="exact"/>
    </w:pPr>
    <w:rPr>
      <w:rFonts w:ascii="黑体" w:eastAsia="黑体"/>
      <w:kern w:val="0"/>
      <w:sz w:val="28"/>
    </w:rPr>
  </w:style>
  <w:style w:type="paragraph" w:customStyle="1" w:styleId="81">
    <w:name w:val="标准文件_封面密级"/>
    <w:basedOn w:val="1"/>
    <w:qFormat/>
    <w:uiPriority w:val="0"/>
    <w:rPr>
      <w:rFonts w:eastAsia="黑体"/>
      <w:sz w:val="32"/>
    </w:rPr>
  </w:style>
  <w:style w:type="paragraph" w:customStyle="1" w:styleId="82">
    <w:name w:val="标准文件_封面实施日期"/>
    <w:basedOn w:val="1"/>
    <w:qFormat/>
    <w:uiPriority w:val="0"/>
    <w:pPr>
      <w:spacing w:line="310" w:lineRule="exact"/>
      <w:jc w:val="right"/>
    </w:pPr>
    <w:rPr>
      <w:rFonts w:ascii="黑体" w:eastAsia="黑体"/>
      <w:sz w:val="28"/>
    </w:rPr>
  </w:style>
  <w:style w:type="paragraph" w:customStyle="1" w:styleId="83">
    <w:name w:val="标准文件_封面抬头"/>
    <w:basedOn w:val="7"/>
    <w:qFormat/>
    <w:uiPriority w:val="0"/>
    <w:pPr>
      <w:adjustRightInd w:val="0"/>
      <w:spacing w:line="800" w:lineRule="exact"/>
      <w:ind w:firstLine="0" w:firstLineChars="0"/>
      <w:jc w:val="distribute"/>
    </w:pPr>
    <w:rPr>
      <w:rFonts w:ascii="黑体" w:eastAsia="黑体"/>
      <w:b/>
      <w:sz w:val="64"/>
    </w:rPr>
  </w:style>
  <w:style w:type="paragraph" w:customStyle="1" w:styleId="84">
    <w:name w:val="标准文件_附录标识"/>
    <w:next w:val="7"/>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85">
    <w:name w:val="标准文件_附录表标题"/>
    <w:next w:val="7"/>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86">
    <w:name w:val="标准文件_附录一级条标题"/>
    <w:next w:val="7"/>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7">
    <w:name w:val="标准文件_附录二级条标题"/>
    <w:basedOn w:val="86"/>
    <w:next w:val="7"/>
    <w:qFormat/>
    <w:uiPriority w:val="0"/>
    <w:pPr>
      <w:widowControl/>
      <w:numPr>
        <w:ilvl w:val="2"/>
      </w:numPr>
      <w:wordWrap w:val="0"/>
      <w:overflowPunct w:val="0"/>
      <w:autoSpaceDE w:val="0"/>
      <w:autoSpaceDN w:val="0"/>
      <w:textAlignment w:val="baseline"/>
      <w:outlineLvl w:val="3"/>
    </w:pPr>
  </w:style>
  <w:style w:type="paragraph" w:customStyle="1" w:styleId="88">
    <w:name w:val="标准文件_附录公式"/>
    <w:basedOn w:val="63"/>
    <w:next w:val="63"/>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9">
    <w:name w:val="标准文件_附录三级条标题"/>
    <w:next w:val="7"/>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90">
    <w:name w:val="标准文件_附录四级条标题"/>
    <w:next w:val="7"/>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91">
    <w:name w:val="标准文件_附录图标题"/>
    <w:next w:val="7"/>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92">
    <w:name w:val="标准文件_附录五级条标题"/>
    <w:next w:val="7"/>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93">
    <w:name w:val="标准文件_附录英文标识"/>
    <w:next w:val="18"/>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paragraph" w:customStyle="1" w:styleId="94">
    <w:name w:val="标准文件_附录章标题"/>
    <w:next w:val="7"/>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5">
    <w:name w:val="标准文件_公式后的破折号"/>
    <w:basedOn w:val="7"/>
    <w:next w:val="7"/>
    <w:qFormat/>
    <w:uiPriority w:val="0"/>
    <w:pPr>
      <w:ind w:left="488" w:leftChars="200" w:hanging="289" w:hangingChars="290"/>
    </w:pPr>
  </w:style>
  <w:style w:type="paragraph" w:customStyle="1" w:styleId="96">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7">
    <w:name w:val="标准文件_目次、标准名称标题"/>
    <w:basedOn w:val="96"/>
    <w:next w:val="7"/>
    <w:qFormat/>
    <w:uiPriority w:val="0"/>
    <w:pPr>
      <w:spacing w:line="460" w:lineRule="exact"/>
      <w:ind w:left="0" w:firstLine="0"/>
    </w:pPr>
  </w:style>
  <w:style w:type="paragraph" w:customStyle="1" w:styleId="98">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9">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100">
    <w:name w:val="标准文件_破折号列项（二级）"/>
    <w:basedOn w:val="99"/>
    <w:qFormat/>
    <w:uiPriority w:val="0"/>
    <w:pPr>
      <w:numPr>
        <w:numId w:val="10"/>
      </w:numPr>
    </w:pPr>
  </w:style>
  <w:style w:type="paragraph" w:customStyle="1" w:styleId="101">
    <w:name w:val="标准文件_三级条标题"/>
    <w:basedOn w:val="73"/>
    <w:next w:val="7"/>
    <w:qFormat/>
    <w:uiPriority w:val="0"/>
    <w:pPr>
      <w:widowControl/>
      <w:numPr>
        <w:ilvl w:val="4"/>
      </w:numPr>
      <w:outlineLvl w:val="3"/>
    </w:pPr>
  </w:style>
  <w:style w:type="character" w:customStyle="1" w:styleId="102">
    <w:name w:val="_Style 97"/>
    <w:qFormat/>
    <w:uiPriority w:val="31"/>
    <w:rPr>
      <w:smallCaps/>
      <w:color w:val="C0504D"/>
      <w:u w:val="single"/>
    </w:rPr>
  </w:style>
  <w:style w:type="paragraph" w:customStyle="1" w:styleId="103">
    <w:name w:val="标准文件_示例后续"/>
    <w:basedOn w:val="1"/>
    <w:qFormat/>
    <w:uiPriority w:val="0"/>
    <w:pPr>
      <w:adjustRightInd/>
      <w:spacing w:line="240" w:lineRule="auto"/>
      <w:ind w:firstLine="200" w:firstLineChars="200"/>
    </w:pPr>
    <w:rPr>
      <w:sz w:val="18"/>
      <w:szCs w:val="24"/>
    </w:rPr>
  </w:style>
  <w:style w:type="paragraph" w:customStyle="1" w:styleId="104">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105">
    <w:name w:val="标准文件_四级条标题"/>
    <w:next w:val="7"/>
    <w:qFormat/>
    <w:uiPriority w:val="0"/>
    <w:pPr>
      <w:widowControl w:val="0"/>
      <w:numPr>
        <w:ilvl w:val="5"/>
        <w:numId w:val="1"/>
      </w:numPr>
      <w:spacing w:before="50" w:beforeLines="50" w:after="50" w:afterLines="50"/>
      <w:jc w:val="both"/>
      <w:outlineLvl w:val="4"/>
    </w:pPr>
    <w:rPr>
      <w:rFonts w:ascii="黑体" w:hAnsi="Times New Roman" w:eastAsia="黑体" w:cs="Times New Roman"/>
      <w:sz w:val="21"/>
      <w:lang w:val="en-US" w:eastAsia="zh-CN" w:bidi="ar-SA"/>
    </w:rPr>
  </w:style>
  <w:style w:type="paragraph" w:customStyle="1" w:styleId="106">
    <w:name w:val="标准文件_条文脚注"/>
    <w:basedOn w:val="26"/>
    <w:qFormat/>
    <w:uiPriority w:val="0"/>
    <w:pPr>
      <w:adjustRightInd w:val="0"/>
      <w:spacing w:line="240" w:lineRule="auto"/>
      <w:ind w:left="0" w:leftChars="0" w:firstLine="200" w:firstLineChars="200"/>
      <w:jc w:val="both"/>
    </w:pPr>
    <w:rPr>
      <w:rFonts w:hAnsi="宋体"/>
    </w:rPr>
  </w:style>
  <w:style w:type="paragraph" w:customStyle="1" w:styleId="107">
    <w:name w:val="标准文件_图表脚注"/>
    <w:basedOn w:val="1"/>
    <w:next w:val="7"/>
    <w:qFormat/>
    <w:uiPriority w:val="0"/>
    <w:pPr>
      <w:numPr>
        <w:ilvl w:val="0"/>
        <w:numId w:val="12"/>
      </w:numPr>
      <w:spacing w:line="240" w:lineRule="auto"/>
      <w:jc w:val="left"/>
    </w:pPr>
    <w:rPr>
      <w:rFonts w:ascii="宋体" w:hAnsi="宋体"/>
      <w:sz w:val="18"/>
    </w:rPr>
  </w:style>
  <w:style w:type="character" w:customStyle="1" w:styleId="108">
    <w:name w:val="标准文件_图表脚注内容"/>
    <w:qFormat/>
    <w:uiPriority w:val="0"/>
    <w:rPr>
      <w:rFonts w:ascii="宋体" w:hAnsi="宋体" w:eastAsia="宋体" w:cs="Times New Roman"/>
      <w:spacing w:val="0"/>
      <w:sz w:val="18"/>
      <w:vertAlign w:val="superscript"/>
    </w:rPr>
  </w:style>
  <w:style w:type="paragraph" w:customStyle="1" w:styleId="109">
    <w:name w:val="标准文件_五级条标题"/>
    <w:next w:val="7"/>
    <w:qFormat/>
    <w:uiPriority w:val="0"/>
    <w:pPr>
      <w:widowControl w:val="0"/>
      <w:numPr>
        <w:ilvl w:val="6"/>
        <w:numId w:val="1"/>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10">
    <w:name w:val="标准文件_一致程度"/>
    <w:basedOn w:val="1"/>
    <w:qFormat/>
    <w:uiPriority w:val="0"/>
    <w:pPr>
      <w:spacing w:line="440" w:lineRule="exact"/>
      <w:jc w:val="center"/>
    </w:pPr>
    <w:rPr>
      <w:sz w:val="28"/>
    </w:rPr>
  </w:style>
  <w:style w:type="paragraph" w:customStyle="1" w:styleId="111">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2">
    <w:name w:val="标准文件_英文图表脚注"/>
    <w:basedOn w:val="63"/>
    <w:qFormat/>
    <w:uiPriority w:val="0"/>
    <w:pPr>
      <w:widowControl/>
      <w:adjustRightInd/>
      <w:snapToGrid/>
      <w:spacing w:line="240" w:lineRule="auto"/>
      <w:ind w:left="79" w:hanging="79" w:hangingChars="80"/>
    </w:pPr>
    <w:rPr>
      <w:rFonts w:ascii="宋体" w:hAnsi="宋体"/>
    </w:rPr>
  </w:style>
  <w:style w:type="paragraph" w:customStyle="1" w:styleId="113">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4">
    <w:name w:val="标准文件_英文注："/>
    <w:basedOn w:val="1"/>
    <w:next w:val="7"/>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5">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6">
    <w:name w:val="标准文件_正文表标题"/>
    <w:next w:val="7"/>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7">
    <w:name w:val="标准文件_正文公式"/>
    <w:basedOn w:val="1"/>
    <w:next w:val="63"/>
    <w:qFormat/>
    <w:uiPriority w:val="0"/>
    <w:pPr>
      <w:tabs>
        <w:tab w:val="center" w:pos="4678"/>
        <w:tab w:val="right" w:leader="middleDot" w:pos="9356"/>
      </w:tabs>
      <w:spacing w:line="240" w:lineRule="auto"/>
    </w:pPr>
    <w:rPr>
      <w:rFonts w:ascii="宋体" w:hAnsi="宋体"/>
    </w:rPr>
  </w:style>
  <w:style w:type="paragraph" w:customStyle="1" w:styleId="118">
    <w:name w:val="标准文件_正文图标题"/>
    <w:next w:val="7"/>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9">
    <w:name w:val="标准文件_正文英文表标题"/>
    <w:next w:val="7"/>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20">
    <w:name w:val="标准文件_正文英文图标题"/>
    <w:next w:val="7"/>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21">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22">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3">
    <w:name w:val="发布部门"/>
    <w:next w:val="7"/>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4">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5">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6">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7">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8">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9">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30">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31">
    <w:name w:val="封面正文"/>
    <w:qFormat/>
    <w:uiPriority w:val="0"/>
    <w:pPr>
      <w:jc w:val="both"/>
    </w:pPr>
    <w:rPr>
      <w:rFonts w:ascii="Times New Roman" w:hAnsi="Times New Roman" w:eastAsia="宋体" w:cs="Times New Roman"/>
      <w:lang w:val="en-US" w:eastAsia="zh-CN" w:bidi="ar-SA"/>
    </w:rPr>
  </w:style>
  <w:style w:type="paragraph" w:customStyle="1" w:styleId="132">
    <w:name w:val="附录二级无标题条"/>
    <w:basedOn w:val="1"/>
    <w:next w:val="7"/>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3">
    <w:name w:val="附录三级无标题条"/>
    <w:basedOn w:val="132"/>
    <w:next w:val="7"/>
    <w:qFormat/>
    <w:uiPriority w:val="0"/>
    <w:pPr>
      <w:outlineLvl w:val="4"/>
    </w:pPr>
  </w:style>
  <w:style w:type="paragraph" w:customStyle="1" w:styleId="134">
    <w:name w:val="附录四级无标题条"/>
    <w:basedOn w:val="133"/>
    <w:next w:val="7"/>
    <w:qFormat/>
    <w:uiPriority w:val="0"/>
    <w:pPr>
      <w:outlineLvl w:val="5"/>
    </w:pPr>
  </w:style>
  <w:style w:type="paragraph" w:customStyle="1" w:styleId="135">
    <w:name w:val="附录图"/>
    <w:next w:val="7"/>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6">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7">
    <w:name w:val="附录五级无标题条"/>
    <w:basedOn w:val="134"/>
    <w:next w:val="7"/>
    <w:qFormat/>
    <w:uiPriority w:val="0"/>
    <w:pPr>
      <w:outlineLvl w:val="6"/>
    </w:pPr>
  </w:style>
  <w:style w:type="paragraph" w:customStyle="1" w:styleId="138">
    <w:name w:val="附录性质"/>
    <w:basedOn w:val="1"/>
    <w:qFormat/>
    <w:uiPriority w:val="0"/>
    <w:pPr>
      <w:widowControl/>
      <w:adjustRightInd/>
      <w:jc w:val="center"/>
    </w:pPr>
    <w:rPr>
      <w:rFonts w:ascii="黑体" w:eastAsia="黑体"/>
    </w:rPr>
  </w:style>
  <w:style w:type="paragraph" w:customStyle="1" w:styleId="139">
    <w:name w:val="附录一级无标题条"/>
    <w:basedOn w:val="94"/>
    <w:next w:val="7"/>
    <w:qFormat/>
    <w:uiPriority w:val="0"/>
    <w:pPr>
      <w:autoSpaceDN w:val="0"/>
      <w:outlineLvl w:val="2"/>
    </w:pPr>
    <w:rPr>
      <w:rFonts w:ascii="宋体" w:hAnsi="宋体" w:eastAsia="宋体"/>
    </w:rPr>
  </w:style>
  <w:style w:type="character" w:customStyle="1" w:styleId="140">
    <w:name w:val="个人答复风格"/>
    <w:qFormat/>
    <w:uiPriority w:val="0"/>
    <w:rPr>
      <w:rFonts w:ascii="Arial" w:hAnsi="Arial" w:eastAsia="宋体" w:cs="Arial"/>
      <w:color w:val="auto"/>
      <w:spacing w:val="0"/>
      <w:sz w:val="20"/>
    </w:rPr>
  </w:style>
  <w:style w:type="character" w:customStyle="1" w:styleId="141">
    <w:name w:val="个人撰写风格"/>
    <w:qFormat/>
    <w:uiPriority w:val="0"/>
    <w:rPr>
      <w:rFonts w:ascii="Arial" w:hAnsi="Arial" w:eastAsia="宋体" w:cs="Arial"/>
      <w:color w:val="auto"/>
      <w:spacing w:val="0"/>
      <w:sz w:val="20"/>
    </w:rPr>
  </w:style>
  <w:style w:type="paragraph" w:customStyle="1" w:styleId="142">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3">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4">
    <w:name w:val="列项·"/>
    <w:basedOn w:val="7"/>
    <w:qFormat/>
    <w:uiPriority w:val="0"/>
    <w:pPr>
      <w:tabs>
        <w:tab w:val="left" w:pos="840"/>
      </w:tabs>
    </w:pPr>
  </w:style>
  <w:style w:type="paragraph" w:customStyle="1" w:styleId="145">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6">
    <w:name w:val="目录 21"/>
    <w:basedOn w:val="1"/>
    <w:next w:val="1"/>
    <w:semiHidden/>
    <w:qFormat/>
    <w:uiPriority w:val="0"/>
    <w:pPr>
      <w:adjustRightInd/>
      <w:spacing w:line="240" w:lineRule="auto"/>
      <w:jc w:val="left"/>
    </w:pPr>
    <w:rPr>
      <w:bCs/>
      <w:iCs/>
    </w:rPr>
  </w:style>
  <w:style w:type="paragraph" w:customStyle="1" w:styleId="147">
    <w:name w:val="目录 31"/>
    <w:basedOn w:val="1"/>
    <w:next w:val="1"/>
    <w:semiHidden/>
    <w:qFormat/>
    <w:uiPriority w:val="0"/>
    <w:pPr>
      <w:spacing w:line="240" w:lineRule="auto"/>
    </w:pPr>
    <w:rPr>
      <w:rFonts w:ascii="宋体" w:hAnsi="宋体"/>
      <w:iCs/>
    </w:rPr>
  </w:style>
  <w:style w:type="paragraph" w:customStyle="1" w:styleId="148">
    <w:name w:val="目录 41"/>
    <w:basedOn w:val="1"/>
    <w:next w:val="1"/>
    <w:semiHidden/>
    <w:qFormat/>
    <w:uiPriority w:val="0"/>
    <w:pPr>
      <w:adjustRightInd/>
      <w:spacing w:line="240" w:lineRule="auto"/>
      <w:jc w:val="left"/>
    </w:pPr>
  </w:style>
  <w:style w:type="paragraph" w:customStyle="1" w:styleId="149">
    <w:name w:val="目录 51"/>
    <w:basedOn w:val="1"/>
    <w:next w:val="1"/>
    <w:semiHidden/>
    <w:qFormat/>
    <w:uiPriority w:val="0"/>
    <w:pPr>
      <w:spacing w:line="240" w:lineRule="auto"/>
    </w:pPr>
    <w:rPr>
      <w:rFonts w:ascii="宋体" w:hAnsi="宋体"/>
    </w:rPr>
  </w:style>
  <w:style w:type="paragraph" w:customStyle="1" w:styleId="150">
    <w:name w:val="目录 61"/>
    <w:basedOn w:val="1"/>
    <w:next w:val="1"/>
    <w:semiHidden/>
    <w:qFormat/>
    <w:uiPriority w:val="0"/>
    <w:pPr>
      <w:adjustRightInd/>
      <w:spacing w:line="240" w:lineRule="auto"/>
      <w:jc w:val="left"/>
    </w:pPr>
  </w:style>
  <w:style w:type="paragraph" w:customStyle="1" w:styleId="151">
    <w:name w:val="目录 71"/>
    <w:basedOn w:val="150"/>
    <w:semiHidden/>
    <w:qFormat/>
    <w:uiPriority w:val="0"/>
    <w:pPr>
      <w:ind w:left="1260"/>
    </w:pPr>
  </w:style>
  <w:style w:type="paragraph" w:customStyle="1" w:styleId="152">
    <w:name w:val="目录 81"/>
    <w:basedOn w:val="151"/>
    <w:semiHidden/>
    <w:qFormat/>
    <w:uiPriority w:val="0"/>
    <w:pPr>
      <w:ind w:left="1470"/>
    </w:pPr>
  </w:style>
  <w:style w:type="paragraph" w:customStyle="1" w:styleId="153">
    <w:name w:val="目录 91"/>
    <w:basedOn w:val="152"/>
    <w:semiHidden/>
    <w:qFormat/>
    <w:uiPriority w:val="0"/>
    <w:pPr>
      <w:ind w:left="1680"/>
    </w:pPr>
  </w:style>
  <w:style w:type="paragraph" w:customStyle="1" w:styleId="154">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5">
    <w:name w:val="其他发布部门"/>
    <w:basedOn w:val="123"/>
    <w:qFormat/>
    <w:uiPriority w:val="0"/>
    <w:pPr>
      <w:framePr w:wrap="around"/>
      <w:spacing w:line="0" w:lineRule="atLeast"/>
    </w:pPr>
    <w:rPr>
      <w:rFonts w:ascii="黑体" w:eastAsia="黑体"/>
      <w:b w:val="0"/>
    </w:rPr>
  </w:style>
  <w:style w:type="paragraph" w:customStyle="1" w:styleId="156">
    <w:name w:val="前言标题"/>
    <w:next w:val="1"/>
    <w:qFormat/>
    <w:uiPriority w:val="0"/>
    <w:pPr>
      <w:numPr>
        <w:ilvl w:val="0"/>
        <w:numId w:val="1"/>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7">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8">
    <w:name w:val="实施日期"/>
    <w:basedOn w:val="124"/>
    <w:qFormat/>
    <w:uiPriority w:val="0"/>
    <w:pPr>
      <w:framePr w:hSpace="0" w:wrap="around" w:xAlign="right"/>
      <w:jc w:val="right"/>
    </w:pPr>
  </w:style>
  <w:style w:type="paragraph" w:customStyle="1" w:styleId="159">
    <w:name w:val="四级无标题条"/>
    <w:basedOn w:val="1"/>
    <w:qFormat/>
    <w:uiPriority w:val="0"/>
    <w:pPr>
      <w:numPr>
        <w:ilvl w:val="5"/>
        <w:numId w:val="20"/>
      </w:numPr>
      <w:adjustRightInd/>
      <w:spacing w:line="240" w:lineRule="auto"/>
    </w:pPr>
    <w:rPr>
      <w:rFonts w:ascii="宋体" w:hAnsi="宋体"/>
      <w:szCs w:val="24"/>
    </w:rPr>
  </w:style>
  <w:style w:type="paragraph" w:customStyle="1" w:styleId="160">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61">
    <w:name w:val="无标题条"/>
    <w:next w:val="7"/>
    <w:qFormat/>
    <w:uiPriority w:val="0"/>
    <w:pPr>
      <w:jc w:val="both"/>
    </w:pPr>
    <w:rPr>
      <w:rFonts w:ascii="宋体" w:hAnsi="宋体" w:eastAsia="宋体" w:cs="Times New Roman"/>
      <w:sz w:val="21"/>
      <w:lang w:val="en-US" w:eastAsia="zh-CN" w:bidi="ar-SA"/>
    </w:rPr>
  </w:style>
  <w:style w:type="paragraph" w:customStyle="1" w:styleId="162">
    <w:name w:val="五级无标题条"/>
    <w:basedOn w:val="1"/>
    <w:qFormat/>
    <w:uiPriority w:val="0"/>
    <w:pPr>
      <w:numPr>
        <w:ilvl w:val="6"/>
        <w:numId w:val="20"/>
      </w:numPr>
      <w:adjustRightInd/>
    </w:pPr>
    <w:rPr>
      <w:szCs w:val="24"/>
    </w:rPr>
  </w:style>
  <w:style w:type="paragraph" w:customStyle="1" w:styleId="163">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4">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5">
    <w:name w:val="注×:后续"/>
    <w:basedOn w:val="164"/>
    <w:qFormat/>
    <w:uiPriority w:val="0"/>
    <w:pPr>
      <w:ind w:left="1406" w:leftChars="0" w:hanging="499" w:firstLineChars="0"/>
    </w:pPr>
  </w:style>
  <w:style w:type="paragraph" w:customStyle="1" w:styleId="166">
    <w:name w:val="标准文件_五级无标题"/>
    <w:basedOn w:val="109"/>
    <w:qFormat/>
    <w:uiPriority w:val="0"/>
    <w:pPr>
      <w:spacing w:before="0" w:beforeLines="0" w:after="0" w:afterLines="0"/>
      <w:outlineLvl w:val="9"/>
    </w:pPr>
    <w:rPr>
      <w:rFonts w:ascii="宋体" w:eastAsia="宋体"/>
    </w:rPr>
  </w:style>
  <w:style w:type="paragraph" w:customStyle="1" w:styleId="167">
    <w:name w:val="标准文件_三级无标题"/>
    <w:basedOn w:val="101"/>
    <w:qFormat/>
    <w:uiPriority w:val="0"/>
    <w:pPr>
      <w:spacing w:before="0" w:beforeLines="0" w:after="0" w:afterLines="0"/>
      <w:outlineLvl w:val="9"/>
    </w:pPr>
    <w:rPr>
      <w:rFonts w:ascii="宋体" w:eastAsia="宋体"/>
    </w:rPr>
  </w:style>
  <w:style w:type="paragraph" w:customStyle="1" w:styleId="168">
    <w:name w:val="标准文件_二级无标题"/>
    <w:basedOn w:val="73"/>
    <w:qFormat/>
    <w:uiPriority w:val="0"/>
    <w:pPr>
      <w:spacing w:before="0" w:beforeLines="0" w:after="0" w:afterLines="0"/>
      <w:outlineLvl w:val="9"/>
    </w:pPr>
    <w:rPr>
      <w:rFonts w:ascii="宋体" w:eastAsia="宋体"/>
    </w:rPr>
  </w:style>
  <w:style w:type="paragraph" w:customStyle="1" w:styleId="169">
    <w:name w:val="标准_四级无标题"/>
    <w:basedOn w:val="105"/>
    <w:next w:val="7"/>
    <w:qFormat/>
    <w:uiPriority w:val="0"/>
    <w:rPr>
      <w:rFonts w:eastAsia="宋体"/>
    </w:rPr>
  </w:style>
  <w:style w:type="paragraph" w:customStyle="1" w:styleId="170">
    <w:name w:val="标准文件_四级无标题"/>
    <w:basedOn w:val="105"/>
    <w:qFormat/>
    <w:uiPriority w:val="0"/>
    <w:pPr>
      <w:spacing w:before="0" w:beforeLines="0" w:after="0" w:afterLines="0"/>
      <w:outlineLvl w:val="9"/>
    </w:pPr>
    <w:rPr>
      <w:rFonts w:ascii="宋体" w:hAnsi="黑体" w:eastAsia="宋体"/>
      <w:szCs w:val="52"/>
    </w:rPr>
  </w:style>
  <w:style w:type="paragraph" w:customStyle="1" w:styleId="171">
    <w:name w:val="标准文件_大写罗马数字编号列项"/>
    <w:basedOn w:val="7"/>
    <w:qFormat/>
    <w:uiPriority w:val="0"/>
    <w:pPr>
      <w:numPr>
        <w:ilvl w:val="0"/>
        <w:numId w:val="23"/>
      </w:numPr>
      <w:ind w:firstLine="0" w:firstLineChars="0"/>
    </w:pPr>
    <w:rPr>
      <w:rFonts w:ascii="Times New Roman" w:cs="Arial"/>
      <w:szCs w:val="28"/>
    </w:rPr>
  </w:style>
  <w:style w:type="paragraph" w:customStyle="1" w:styleId="172">
    <w:name w:val="标准文件_小写罗马数字编号列项"/>
    <w:basedOn w:val="7"/>
    <w:qFormat/>
    <w:uiPriority w:val="0"/>
    <w:pPr>
      <w:numPr>
        <w:ilvl w:val="0"/>
        <w:numId w:val="24"/>
      </w:numPr>
      <w:ind w:firstLine="0" w:firstLineChars="0"/>
    </w:pPr>
    <w:rPr>
      <w:rFonts w:cs="Arial"/>
      <w:szCs w:val="28"/>
    </w:rPr>
  </w:style>
  <w:style w:type="paragraph" w:customStyle="1" w:styleId="173">
    <w:name w:val="标准文件_附录标题"/>
    <w:basedOn w:val="84"/>
    <w:qFormat/>
    <w:uiPriority w:val="0"/>
    <w:pPr>
      <w:numPr>
        <w:ilvl w:val="0"/>
        <w:numId w:val="0"/>
      </w:numPr>
      <w:spacing w:after="280"/>
      <w:outlineLvl w:val="9"/>
    </w:pPr>
  </w:style>
  <w:style w:type="paragraph" w:customStyle="1" w:styleId="174">
    <w:name w:val="标准文件_二级项"/>
    <w:qFormat/>
    <w:uiPriority w:val="0"/>
    <w:rPr>
      <w:rFonts w:ascii="宋体" w:hAnsi="Times New Roman" w:eastAsia="宋体" w:cs="Times New Roman"/>
      <w:sz w:val="21"/>
      <w:lang w:val="en-US" w:eastAsia="zh-CN" w:bidi="ar-SA"/>
    </w:rPr>
  </w:style>
  <w:style w:type="paragraph" w:customStyle="1" w:styleId="175">
    <w:name w:val="标准文件_三级项"/>
    <w:basedOn w:val="1"/>
    <w:qFormat/>
    <w:uiPriority w:val="0"/>
    <w:pPr>
      <w:numPr>
        <w:ilvl w:val="2"/>
        <w:numId w:val="21"/>
      </w:numPr>
      <w:spacing w:line="300" w:lineRule="exact"/>
    </w:pPr>
    <w:rPr>
      <w:rFonts w:ascii="Times New Roman" w:hAnsi="Times New Roman"/>
    </w:rPr>
  </w:style>
  <w:style w:type="paragraph" w:customStyle="1" w:styleId="176">
    <w:name w:val="图表脚注说明"/>
    <w:basedOn w:val="1"/>
    <w:next w:val="7"/>
    <w:qFormat/>
    <w:uiPriority w:val="0"/>
    <w:pPr>
      <w:numPr>
        <w:ilvl w:val="0"/>
        <w:numId w:val="25"/>
      </w:numPr>
      <w:adjustRightInd/>
      <w:spacing w:line="240" w:lineRule="auto"/>
    </w:pPr>
    <w:rPr>
      <w:rFonts w:ascii="宋体" w:hAnsi="Times New Roman"/>
      <w:sz w:val="18"/>
      <w:szCs w:val="18"/>
    </w:rPr>
  </w:style>
  <w:style w:type="paragraph" w:customStyle="1" w:styleId="177">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8">
    <w:name w:val="标准文件_索引字母"/>
    <w:next w:val="7"/>
    <w:qFormat/>
    <w:uiPriority w:val="0"/>
    <w:pPr>
      <w:jc w:val="center"/>
    </w:pPr>
    <w:rPr>
      <w:rFonts w:ascii="宋体" w:hAnsi="宋体" w:eastAsia="Times New Roman" w:cs="Times New Roman"/>
      <w:b/>
      <w:kern w:val="2"/>
      <w:sz w:val="21"/>
      <w:lang w:val="en-US" w:eastAsia="zh-CN" w:bidi="ar-SA"/>
    </w:rPr>
  </w:style>
  <w:style w:type="paragraph" w:customStyle="1" w:styleId="179">
    <w:name w:val="标准文件_附录前"/>
    <w:next w:val="7"/>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80">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81">
    <w:name w:val="标准文件_表格"/>
    <w:basedOn w:val="7"/>
    <w:qFormat/>
    <w:uiPriority w:val="0"/>
    <w:pPr>
      <w:ind w:firstLine="0" w:firstLineChars="0"/>
      <w:jc w:val="center"/>
    </w:pPr>
    <w:rPr>
      <w:sz w:val="18"/>
    </w:rPr>
  </w:style>
  <w:style w:type="paragraph" w:customStyle="1" w:styleId="182">
    <w:name w:val="标准文件_注："/>
    <w:next w:val="7"/>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3">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4">
    <w:name w:val="标准文件_示例："/>
    <w:next w:val="185"/>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5">
    <w:name w:val="标准文件_示例内容"/>
    <w:basedOn w:val="7"/>
    <w:qFormat/>
    <w:uiPriority w:val="0"/>
    <w:pPr>
      <w:ind w:firstLine="420"/>
    </w:pPr>
    <w:rPr>
      <w:sz w:val="18"/>
    </w:rPr>
  </w:style>
  <w:style w:type="paragraph" w:customStyle="1" w:styleId="186">
    <w:name w:val="标准文件_示例×："/>
    <w:basedOn w:val="1"/>
    <w:next w:val="185"/>
    <w:qFormat/>
    <w:uiPriority w:val="0"/>
    <w:pPr>
      <w:widowControl/>
      <w:numPr>
        <w:ilvl w:val="0"/>
        <w:numId w:val="29"/>
      </w:numPr>
      <w:adjustRightInd/>
      <w:spacing w:line="240" w:lineRule="auto"/>
    </w:pPr>
    <w:rPr>
      <w:rFonts w:ascii="宋体" w:hAnsi="Times New Roman"/>
      <w:kern w:val="0"/>
      <w:sz w:val="18"/>
      <w:szCs w:val="18"/>
    </w:rPr>
  </w:style>
  <w:style w:type="paragraph" w:customStyle="1" w:styleId="187">
    <w:name w:val="标准文件_表格续"/>
    <w:basedOn w:val="7"/>
    <w:next w:val="7"/>
    <w:qFormat/>
    <w:uiPriority w:val="0"/>
    <w:pPr>
      <w:jc w:val="center"/>
    </w:pPr>
    <w:rPr>
      <w:rFonts w:ascii="黑体" w:hAnsi="黑体" w:eastAsia="黑体"/>
    </w:rPr>
  </w:style>
  <w:style w:type="character" w:styleId="188">
    <w:name w:val="Placeholder Text"/>
    <w:semiHidden/>
    <w:qFormat/>
    <w:uiPriority w:val="99"/>
    <w:rPr>
      <w:color w:val="808080"/>
    </w:rPr>
  </w:style>
  <w:style w:type="paragraph" w:customStyle="1" w:styleId="189">
    <w:name w:val="标准文件_二级项2"/>
    <w:basedOn w:val="7"/>
    <w:qFormat/>
    <w:uiPriority w:val="0"/>
    <w:pPr>
      <w:numPr>
        <w:ilvl w:val="1"/>
        <w:numId w:val="21"/>
      </w:numPr>
      <w:ind w:firstLine="0" w:firstLineChars="0"/>
    </w:pPr>
  </w:style>
  <w:style w:type="paragraph" w:customStyle="1" w:styleId="190">
    <w:name w:val="标准文件_三级项2"/>
    <w:basedOn w:val="7"/>
    <w:qFormat/>
    <w:uiPriority w:val="0"/>
    <w:pPr>
      <w:numPr>
        <w:ilvl w:val="0"/>
        <w:numId w:val="30"/>
      </w:numPr>
      <w:spacing w:line="300" w:lineRule="exact"/>
      <w:ind w:firstLine="0" w:firstLineChars="0"/>
    </w:pPr>
    <w:rPr>
      <w:rFonts w:ascii="Times New Roman"/>
    </w:rPr>
  </w:style>
  <w:style w:type="paragraph" w:customStyle="1" w:styleId="191">
    <w:name w:val="标准文件_一级项2"/>
    <w:basedOn w:val="7"/>
    <w:qFormat/>
    <w:uiPriority w:val="0"/>
    <w:pPr>
      <w:numPr>
        <w:ilvl w:val="0"/>
        <w:numId w:val="31"/>
      </w:numPr>
      <w:spacing w:line="300" w:lineRule="exact"/>
      <w:ind w:firstLine="0" w:firstLineChars="0"/>
    </w:pPr>
    <w:rPr>
      <w:rFonts w:ascii="Times New Roman"/>
    </w:rPr>
  </w:style>
  <w:style w:type="paragraph" w:customStyle="1" w:styleId="192">
    <w:name w:val="标准文件_提示"/>
    <w:basedOn w:val="7"/>
    <w:next w:val="7"/>
    <w:qFormat/>
    <w:uiPriority w:val="0"/>
    <w:pPr>
      <w:ind w:firstLine="420"/>
    </w:pPr>
    <w:rPr>
      <w:rFonts w:ascii="黑体" w:eastAsia="黑体"/>
    </w:rPr>
  </w:style>
  <w:style w:type="character" w:customStyle="1" w:styleId="193">
    <w:name w:val="标准文件_来源"/>
    <w:qFormat/>
    <w:uiPriority w:val="1"/>
    <w:rPr>
      <w:rFonts w:eastAsia="宋体"/>
      <w:sz w:val="21"/>
    </w:rPr>
  </w:style>
  <w:style w:type="paragraph" w:customStyle="1" w:styleId="194">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5">
    <w:name w:val="其他发布日期"/>
    <w:basedOn w:val="124"/>
    <w:qFormat/>
    <w:uiPriority w:val="0"/>
    <w:pPr>
      <w:framePr w:w="3997" w:h="471" w:hRule="exact" w:hSpace="0" w:vSpace="181" w:wrap="around" w:vAnchor="page" w:hAnchor="page" w:x="1419" w:y="14097"/>
    </w:pPr>
  </w:style>
  <w:style w:type="paragraph" w:customStyle="1" w:styleId="196">
    <w:name w:val="其他实施日期"/>
    <w:basedOn w:val="158"/>
    <w:qFormat/>
    <w:uiPriority w:val="0"/>
    <w:pPr>
      <w:framePr w:w="3997" w:h="471" w:hRule="exact" w:vSpace="181" w:wrap="around" w:vAnchor="page" w:hAnchor="page" w:x="7089" w:y="14097"/>
    </w:pPr>
  </w:style>
  <w:style w:type="paragraph" w:customStyle="1" w:styleId="197">
    <w:name w:val="标准文件_文件编号"/>
    <w:basedOn w:val="7"/>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8">
    <w:name w:val="标准文件_替换文件编号"/>
    <w:basedOn w:val="197"/>
    <w:qFormat/>
    <w:uiPriority w:val="0"/>
    <w:pPr>
      <w:spacing w:before="57"/>
    </w:pPr>
    <w:rPr>
      <w:sz w:val="21"/>
    </w:rPr>
  </w:style>
  <w:style w:type="paragraph" w:customStyle="1" w:styleId="199">
    <w:name w:val="标准文件_文件名称"/>
    <w:basedOn w:val="7"/>
    <w:next w:val="7"/>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200">
    <w:name w:val="标准文件_附录图标号"/>
    <w:basedOn w:val="7"/>
    <w:next w:val="7"/>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1">
    <w:name w:val="标准文件_附录表标号"/>
    <w:basedOn w:val="7"/>
    <w:next w:val="7"/>
    <w:qFormat/>
    <w:uiPriority w:val="0"/>
    <w:pPr>
      <w:numPr>
        <w:ilvl w:val="0"/>
        <w:numId w:val="5"/>
      </w:numPr>
      <w:spacing w:line="14" w:lineRule="exact"/>
      <w:ind w:firstLine="0" w:firstLineChars="0"/>
      <w:jc w:val="center"/>
    </w:pPr>
    <w:rPr>
      <w:rFonts w:eastAsia="黑体"/>
      <w:vanish/>
      <w:sz w:val="2"/>
    </w:rPr>
  </w:style>
  <w:style w:type="paragraph" w:customStyle="1" w:styleId="202">
    <w:name w:val="标准文件_引言一级条标题"/>
    <w:basedOn w:val="7"/>
    <w:next w:val="7"/>
    <w:qFormat/>
    <w:uiPriority w:val="0"/>
    <w:pPr>
      <w:numPr>
        <w:ilvl w:val="1"/>
        <w:numId w:val="8"/>
      </w:numPr>
      <w:spacing w:before="50" w:beforeLines="50" w:after="50" w:afterLines="50"/>
      <w:ind w:firstLine="0" w:firstLineChars="0"/>
    </w:pPr>
    <w:rPr>
      <w:rFonts w:ascii="黑体" w:eastAsia="黑体"/>
    </w:rPr>
  </w:style>
  <w:style w:type="paragraph" w:customStyle="1" w:styleId="203">
    <w:name w:val="标准文件_引言二级条标题"/>
    <w:basedOn w:val="7"/>
    <w:next w:val="7"/>
    <w:qFormat/>
    <w:uiPriority w:val="0"/>
    <w:pPr>
      <w:numPr>
        <w:ilvl w:val="2"/>
        <w:numId w:val="8"/>
      </w:numPr>
      <w:spacing w:before="50" w:beforeLines="50" w:after="50" w:afterLines="50"/>
      <w:ind w:firstLine="0" w:firstLineChars="0"/>
    </w:pPr>
    <w:rPr>
      <w:rFonts w:ascii="黑体" w:eastAsia="黑体"/>
    </w:rPr>
  </w:style>
  <w:style w:type="paragraph" w:customStyle="1" w:styleId="204">
    <w:name w:val="标准文件_引言三级条标题"/>
    <w:basedOn w:val="7"/>
    <w:next w:val="7"/>
    <w:qFormat/>
    <w:uiPriority w:val="0"/>
    <w:pPr>
      <w:numPr>
        <w:ilvl w:val="3"/>
        <w:numId w:val="8"/>
      </w:numPr>
      <w:spacing w:before="50" w:beforeLines="50" w:after="50" w:afterLines="50"/>
      <w:ind w:firstLine="0" w:firstLineChars="0"/>
    </w:pPr>
    <w:rPr>
      <w:rFonts w:ascii="黑体" w:eastAsia="黑体"/>
    </w:rPr>
  </w:style>
  <w:style w:type="paragraph" w:customStyle="1" w:styleId="205">
    <w:name w:val="标准文件_引言四级条标题"/>
    <w:basedOn w:val="7"/>
    <w:next w:val="7"/>
    <w:qFormat/>
    <w:uiPriority w:val="0"/>
    <w:pPr>
      <w:numPr>
        <w:ilvl w:val="4"/>
        <w:numId w:val="8"/>
      </w:numPr>
      <w:spacing w:before="50" w:beforeLines="50" w:after="50" w:afterLines="50"/>
      <w:ind w:firstLine="0" w:firstLineChars="0"/>
    </w:pPr>
    <w:rPr>
      <w:rFonts w:ascii="黑体" w:eastAsia="黑体"/>
    </w:rPr>
  </w:style>
  <w:style w:type="paragraph" w:customStyle="1" w:styleId="206">
    <w:name w:val="标准文件_引言五级条标题"/>
    <w:basedOn w:val="7"/>
    <w:next w:val="7"/>
    <w:qFormat/>
    <w:uiPriority w:val="0"/>
    <w:pPr>
      <w:numPr>
        <w:ilvl w:val="5"/>
        <w:numId w:val="8"/>
      </w:numPr>
      <w:spacing w:before="50" w:beforeLines="50" w:after="50" w:afterLines="50"/>
      <w:ind w:firstLine="0" w:firstLineChars="0"/>
    </w:pPr>
    <w:rPr>
      <w:rFonts w:ascii="黑体" w:eastAsia="黑体"/>
    </w:rPr>
  </w:style>
  <w:style w:type="paragraph" w:customStyle="1" w:styleId="207">
    <w:name w:val="标准文件_注后"/>
    <w:basedOn w:val="7"/>
    <w:qFormat/>
    <w:uiPriority w:val="0"/>
    <w:pPr>
      <w:ind w:left="811" w:firstLine="0" w:firstLineChars="0"/>
    </w:pPr>
    <w:rPr>
      <w:sz w:val="18"/>
    </w:rPr>
  </w:style>
  <w:style w:type="paragraph" w:customStyle="1" w:styleId="208">
    <w:name w:val="标准文件_注X后"/>
    <w:basedOn w:val="7"/>
    <w:qFormat/>
    <w:uiPriority w:val="0"/>
    <w:pPr>
      <w:ind w:left="811" w:firstLine="0" w:firstLineChars="0"/>
    </w:pPr>
    <w:rPr>
      <w:sz w:val="18"/>
    </w:rPr>
  </w:style>
  <w:style w:type="paragraph" w:customStyle="1" w:styleId="209">
    <w:name w:val="标准文件_示例后"/>
    <w:basedOn w:val="7"/>
    <w:qFormat/>
    <w:uiPriority w:val="0"/>
    <w:pPr>
      <w:ind w:left="964" w:firstLine="0" w:firstLineChars="0"/>
    </w:pPr>
    <w:rPr>
      <w:sz w:val="18"/>
    </w:rPr>
  </w:style>
  <w:style w:type="paragraph" w:customStyle="1" w:styleId="210">
    <w:name w:val="标准文件_示例X后"/>
    <w:basedOn w:val="7"/>
    <w:link w:val="211"/>
    <w:qFormat/>
    <w:uiPriority w:val="0"/>
    <w:pPr>
      <w:ind w:left="1049" w:firstLine="0" w:firstLineChars="0"/>
    </w:pPr>
    <w:rPr>
      <w:sz w:val="18"/>
    </w:rPr>
  </w:style>
  <w:style w:type="character" w:customStyle="1" w:styleId="211">
    <w:name w:val="标准文件_示例X后 字符"/>
    <w:link w:val="210"/>
    <w:qFormat/>
    <w:uiPriority w:val="0"/>
    <w:rPr>
      <w:rFonts w:ascii="宋体" w:hAnsi="Times New Roman"/>
      <w:sz w:val="18"/>
    </w:rPr>
  </w:style>
  <w:style w:type="paragraph" w:customStyle="1" w:styleId="212">
    <w:name w:val="标准文件_索引项"/>
    <w:basedOn w:val="7"/>
    <w:next w:val="7"/>
    <w:qFormat/>
    <w:uiPriority w:val="0"/>
    <w:pPr>
      <w:tabs>
        <w:tab w:val="right" w:leader="dot" w:pos="9356"/>
      </w:tabs>
      <w:ind w:left="210" w:hanging="210" w:firstLineChars="0"/>
      <w:jc w:val="left"/>
    </w:pPr>
  </w:style>
  <w:style w:type="paragraph" w:customStyle="1" w:styleId="213">
    <w:name w:val="标准文件_附录一级无标题"/>
    <w:basedOn w:val="86"/>
    <w:qFormat/>
    <w:uiPriority w:val="0"/>
    <w:pPr>
      <w:spacing w:before="0" w:beforeLines="0" w:after="0" w:afterLines="0" w:line="276" w:lineRule="auto"/>
      <w:outlineLvl w:val="9"/>
    </w:pPr>
    <w:rPr>
      <w:rFonts w:ascii="宋体" w:eastAsia="宋体"/>
    </w:rPr>
  </w:style>
  <w:style w:type="paragraph" w:customStyle="1" w:styleId="214">
    <w:name w:val="标准文件_附录二级无标题"/>
    <w:basedOn w:val="87"/>
    <w:qFormat/>
    <w:uiPriority w:val="0"/>
    <w:pPr>
      <w:spacing w:before="0" w:beforeLines="0" w:after="0" w:afterLines="0" w:line="276" w:lineRule="auto"/>
      <w:outlineLvl w:val="9"/>
    </w:pPr>
    <w:rPr>
      <w:rFonts w:ascii="宋体" w:eastAsia="宋体"/>
    </w:rPr>
  </w:style>
  <w:style w:type="paragraph" w:customStyle="1" w:styleId="215">
    <w:name w:val="标准文件_附录三级无标题"/>
    <w:basedOn w:val="89"/>
    <w:qFormat/>
    <w:uiPriority w:val="0"/>
    <w:pPr>
      <w:spacing w:before="0" w:beforeLines="0" w:after="0" w:afterLines="0" w:line="276" w:lineRule="auto"/>
      <w:outlineLvl w:val="9"/>
    </w:pPr>
    <w:rPr>
      <w:rFonts w:ascii="宋体" w:eastAsia="宋体"/>
    </w:rPr>
  </w:style>
  <w:style w:type="paragraph" w:customStyle="1" w:styleId="216">
    <w:name w:val="标准文件_附录四级无标题"/>
    <w:basedOn w:val="90"/>
    <w:qFormat/>
    <w:uiPriority w:val="0"/>
    <w:pPr>
      <w:spacing w:before="0" w:beforeLines="0" w:after="0" w:afterLines="0" w:line="276" w:lineRule="auto"/>
      <w:outlineLvl w:val="9"/>
    </w:pPr>
    <w:rPr>
      <w:rFonts w:ascii="宋体" w:eastAsia="宋体"/>
    </w:rPr>
  </w:style>
  <w:style w:type="paragraph" w:customStyle="1" w:styleId="217">
    <w:name w:val="标准文件_附录五级无标题"/>
    <w:basedOn w:val="92"/>
    <w:qFormat/>
    <w:uiPriority w:val="0"/>
    <w:pPr>
      <w:spacing w:before="0" w:beforeLines="0" w:after="0" w:afterLines="0" w:line="276" w:lineRule="auto"/>
      <w:outlineLvl w:val="9"/>
    </w:pPr>
    <w:rPr>
      <w:rFonts w:ascii="宋体" w:eastAsia="宋体"/>
    </w:rPr>
  </w:style>
  <w:style w:type="paragraph" w:customStyle="1" w:styleId="218">
    <w:name w:val="标准文件_引言一级无标题"/>
    <w:basedOn w:val="202"/>
    <w:next w:val="7"/>
    <w:qFormat/>
    <w:uiPriority w:val="0"/>
    <w:pPr>
      <w:spacing w:before="0" w:beforeLines="0" w:after="0" w:afterLines="0" w:line="276" w:lineRule="auto"/>
    </w:pPr>
    <w:rPr>
      <w:rFonts w:ascii="宋体" w:eastAsia="宋体"/>
    </w:rPr>
  </w:style>
  <w:style w:type="paragraph" w:customStyle="1" w:styleId="219">
    <w:name w:val="标准文件_引言二级无标题"/>
    <w:basedOn w:val="203"/>
    <w:next w:val="7"/>
    <w:qFormat/>
    <w:uiPriority w:val="0"/>
    <w:pPr>
      <w:spacing w:before="0" w:beforeLines="0" w:after="0" w:afterLines="0" w:line="276" w:lineRule="auto"/>
    </w:pPr>
    <w:rPr>
      <w:rFonts w:ascii="宋体" w:eastAsia="宋体"/>
    </w:rPr>
  </w:style>
  <w:style w:type="paragraph" w:customStyle="1" w:styleId="220">
    <w:name w:val="标准文件_引言三级无标题"/>
    <w:basedOn w:val="204"/>
    <w:qFormat/>
    <w:uiPriority w:val="0"/>
    <w:pPr>
      <w:spacing w:before="0" w:beforeLines="0" w:after="0" w:afterLines="0" w:line="276" w:lineRule="auto"/>
    </w:pPr>
    <w:rPr>
      <w:rFonts w:ascii="宋体" w:eastAsia="宋体"/>
    </w:rPr>
  </w:style>
  <w:style w:type="paragraph" w:customStyle="1" w:styleId="221">
    <w:name w:val="标准文件_引言四级无标题"/>
    <w:basedOn w:val="205"/>
    <w:next w:val="7"/>
    <w:qFormat/>
    <w:uiPriority w:val="0"/>
    <w:pPr>
      <w:spacing w:before="0" w:beforeLines="0" w:after="0" w:afterLines="0" w:line="276" w:lineRule="auto"/>
    </w:pPr>
    <w:rPr>
      <w:rFonts w:ascii="宋体" w:eastAsia="宋体"/>
    </w:rPr>
  </w:style>
  <w:style w:type="paragraph" w:customStyle="1" w:styleId="222">
    <w:name w:val="标准文件_引言五级无标题"/>
    <w:basedOn w:val="206"/>
    <w:next w:val="7"/>
    <w:qFormat/>
    <w:uiPriority w:val="0"/>
    <w:pPr>
      <w:spacing w:before="0" w:beforeLines="0" w:after="0" w:afterLines="0" w:line="276" w:lineRule="auto"/>
    </w:pPr>
    <w:rPr>
      <w:rFonts w:ascii="宋体" w:eastAsia="宋体"/>
    </w:rPr>
  </w:style>
  <w:style w:type="paragraph" w:customStyle="1" w:styleId="223">
    <w:name w:val="标准文件_索引标题"/>
    <w:basedOn w:val="71"/>
    <w:next w:val="7"/>
    <w:qFormat/>
    <w:uiPriority w:val="0"/>
    <w:rPr>
      <w:rFonts w:hAnsi="黑体"/>
    </w:rPr>
  </w:style>
  <w:style w:type="paragraph" w:customStyle="1" w:styleId="224">
    <w:name w:val="标准文件_脚注内容"/>
    <w:basedOn w:val="7"/>
    <w:qFormat/>
    <w:uiPriority w:val="0"/>
    <w:pPr>
      <w:ind w:left="400" w:leftChars="200" w:hanging="200" w:hangingChars="200"/>
    </w:pPr>
    <w:rPr>
      <w:sz w:val="15"/>
    </w:rPr>
  </w:style>
  <w:style w:type="paragraph" w:customStyle="1" w:styleId="225">
    <w:name w:val="标准文件_术语条一"/>
    <w:basedOn w:val="4"/>
    <w:next w:val="7"/>
    <w:qFormat/>
    <w:uiPriority w:val="0"/>
  </w:style>
  <w:style w:type="paragraph" w:customStyle="1" w:styleId="226">
    <w:name w:val="标准文件_术语条二"/>
    <w:basedOn w:val="168"/>
    <w:next w:val="7"/>
    <w:qFormat/>
    <w:uiPriority w:val="0"/>
  </w:style>
  <w:style w:type="paragraph" w:customStyle="1" w:styleId="227">
    <w:name w:val="标准文件_术语条三"/>
    <w:basedOn w:val="167"/>
    <w:next w:val="7"/>
    <w:qFormat/>
    <w:uiPriority w:val="0"/>
  </w:style>
  <w:style w:type="paragraph" w:customStyle="1" w:styleId="228">
    <w:name w:val="标准文件_术语条四"/>
    <w:basedOn w:val="170"/>
    <w:next w:val="7"/>
    <w:qFormat/>
    <w:uiPriority w:val="0"/>
  </w:style>
  <w:style w:type="paragraph" w:customStyle="1" w:styleId="229">
    <w:name w:val="标准文件_术语条五"/>
    <w:basedOn w:val="166"/>
    <w:next w:val="7"/>
    <w:qFormat/>
    <w:uiPriority w:val="0"/>
  </w:style>
  <w:style w:type="paragraph" w:customStyle="1" w:styleId="230">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231">
    <w:name w:val="发布"/>
    <w:qFormat/>
    <w:uiPriority w:val="0"/>
    <w:rPr>
      <w:rFonts w:ascii="黑体" w:eastAsia="黑体"/>
      <w:spacing w:val="85"/>
      <w:w w:val="100"/>
      <w:position w:val="3"/>
      <w:sz w:val="28"/>
      <w:szCs w:val="28"/>
    </w:rPr>
  </w:style>
  <w:style w:type="character" w:customStyle="1" w:styleId="232">
    <w:name w:val="_Style 230"/>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6.xml"/><Relationship Id="rId14" Type="http://schemas.openxmlformats.org/officeDocument/2006/relationships/header" Target="header5.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242;&#20307;&#26631;&#20934;.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团体标准</Template>
  <Company>PCMI</Company>
  <Pages>9</Pages>
  <Words>3210</Words>
  <Characters>3658</Characters>
  <Lines>614</Lines>
  <Paragraphs>552</Paragraphs>
  <TotalTime>14</TotalTime>
  <ScaleCrop>false</ScaleCrop>
  <LinksUpToDate>false</LinksUpToDate>
  <CharactersWithSpaces>3794</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2026-08-26T04:54:00Z</dcterms:created>
  <dc:creator>胡丽华</dc:creator>
  <dc:description>&lt;config cover="true" show_menu="true" version="1.0.0" doctype="SDKXY"&gt;
&lt;/config&gt;</dc:description>
  <cp:lastModifiedBy>Admin</cp:lastModifiedBy>
  <cp:lastPrinted>2026-09-23T06:29:32Z</cp:lastPrinted>
  <dcterms:modified xsi:type="dcterms:W3CDTF">2026-09-23T06:35:17Z</dcterms:modified>
  <dc:title>团体标准</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2</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eyJoZGlkIjoiODI4MDdjOWY4ZGNhNGNiODAxOWM0ZGIxODY1Mjk3NGIiLCJ1c2VySWQiOiI4MzMyOTk0NzcifQ==</vt:lpwstr>
  </property>
  <property fmtid="{D5CDD505-2E9C-101B-9397-08002B2CF9AE}" pid="15" name="KSOProductBuildVer">
    <vt:lpwstr>2052-12.8.2.18205</vt:lpwstr>
  </property>
  <property fmtid="{D5CDD505-2E9C-101B-9397-08002B2CF9AE}" pid="16" name="ICV">
    <vt:lpwstr>A90C8A0C65AD4B7DB56C7B4AD6F91727_13</vt:lpwstr>
  </property>
</Properties>
</file>