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CCB6F40" w14:textId="77777777" w:rsidR="00765931" w:rsidRDefault="00765931">
      <w:pPr>
        <w:spacing w:line="380" w:lineRule="exact"/>
        <w:jc w:val="center"/>
        <w:rPr>
          <w:rFonts w:ascii="黑体" w:eastAsia="黑体"/>
          <w:sz w:val="30"/>
          <w:szCs w:val="30"/>
        </w:rPr>
      </w:pPr>
    </w:p>
    <w:p w14:paraId="289C153F" w14:textId="77777777" w:rsidR="00765931" w:rsidRDefault="000D50A6">
      <w:pPr>
        <w:spacing w:line="380" w:lineRule="exact"/>
        <w:jc w:val="center"/>
        <w:rPr>
          <w:rFonts w:ascii="黑体" w:eastAsia="黑体"/>
          <w:sz w:val="30"/>
          <w:szCs w:val="30"/>
        </w:rPr>
      </w:pPr>
      <w:r>
        <w:rPr>
          <w:rFonts w:ascii="黑体" w:eastAsia="黑体" w:hint="eastAsia"/>
          <w:sz w:val="30"/>
          <w:szCs w:val="30"/>
        </w:rPr>
        <w:t>中国文化办公设备制造行业协会团体标准</w:t>
      </w:r>
    </w:p>
    <w:p w14:paraId="1DB53CFB" w14:textId="77777777" w:rsidR="00765931" w:rsidRDefault="000D50A6">
      <w:pPr>
        <w:spacing w:line="380" w:lineRule="exact"/>
        <w:jc w:val="center"/>
        <w:rPr>
          <w:rFonts w:ascii="黑体" w:eastAsia="黑体"/>
          <w:sz w:val="30"/>
          <w:szCs w:val="30"/>
        </w:rPr>
      </w:pPr>
      <w:bookmarkStart w:id="0" w:name="OLE_LINK4"/>
      <w:r>
        <w:rPr>
          <w:rFonts w:ascii="黑体" w:eastAsia="黑体" w:hint="eastAsia"/>
          <w:sz w:val="30"/>
          <w:szCs w:val="30"/>
        </w:rPr>
        <w:t>《照相用电子闪光灯光辐射安全风险管控和评估指南》</w:t>
      </w:r>
    </w:p>
    <w:p w14:paraId="774B761B" w14:textId="77777777" w:rsidR="00765931" w:rsidRDefault="000D50A6">
      <w:pPr>
        <w:spacing w:line="380" w:lineRule="exact"/>
        <w:jc w:val="center"/>
        <w:rPr>
          <w:rFonts w:ascii="黑体" w:eastAsia="黑体"/>
          <w:sz w:val="30"/>
          <w:szCs w:val="30"/>
        </w:rPr>
      </w:pPr>
      <w:r>
        <w:rPr>
          <w:rFonts w:ascii="黑体" w:eastAsia="黑体" w:hint="eastAsia"/>
          <w:sz w:val="30"/>
          <w:szCs w:val="30"/>
        </w:rPr>
        <w:t>编制说明（</w:t>
      </w:r>
      <w:r>
        <w:rPr>
          <w:rFonts w:ascii="黑体" w:eastAsia="黑体" w:hint="eastAsia"/>
          <w:sz w:val="30"/>
          <w:szCs w:val="30"/>
        </w:rPr>
        <w:t>征求意见稿</w:t>
      </w:r>
      <w:r>
        <w:rPr>
          <w:rFonts w:ascii="黑体" w:eastAsia="黑体" w:hint="eastAsia"/>
          <w:sz w:val="30"/>
          <w:szCs w:val="30"/>
        </w:rPr>
        <w:t>）</w:t>
      </w:r>
    </w:p>
    <w:bookmarkEnd w:id="0"/>
    <w:p w14:paraId="20429E3B" w14:textId="77777777" w:rsidR="00765931" w:rsidRDefault="000D50A6">
      <w:pPr>
        <w:pStyle w:val="1"/>
        <w:spacing w:line="380" w:lineRule="exact"/>
        <w:jc w:val="right"/>
        <w:rPr>
          <w:rFonts w:ascii="黑体" w:eastAsia="黑体"/>
          <w:sz w:val="21"/>
          <w:szCs w:val="21"/>
        </w:rPr>
      </w:pPr>
      <w:r>
        <w:rPr>
          <w:sz w:val="21"/>
          <w:szCs w:val="21"/>
        </w:rPr>
        <w:t xml:space="preserve">T/CCOEA </w:t>
      </w:r>
      <w:r>
        <w:rPr>
          <w:rFonts w:hint="eastAsia"/>
          <w:sz w:val="21"/>
          <w:szCs w:val="21"/>
        </w:rPr>
        <w:t>XX</w:t>
      </w:r>
      <w:r>
        <w:rPr>
          <w:rFonts w:hAnsi="黑体"/>
          <w:sz w:val="21"/>
          <w:szCs w:val="21"/>
        </w:rPr>
        <w:t>—</w:t>
      </w:r>
      <w:r>
        <w:rPr>
          <w:sz w:val="21"/>
          <w:szCs w:val="21"/>
        </w:rPr>
        <w:t>202</w:t>
      </w:r>
      <w:r>
        <w:rPr>
          <w:rFonts w:hint="eastAsia"/>
          <w:sz w:val="21"/>
          <w:szCs w:val="21"/>
        </w:rPr>
        <w:t>X</w:t>
      </w:r>
    </w:p>
    <w:p w14:paraId="07AB3173" w14:textId="77777777" w:rsidR="00765931" w:rsidRDefault="000D50A6">
      <w:pPr>
        <w:spacing w:line="240" w:lineRule="exact"/>
      </w:pPr>
      <w:r>
        <w:rPr>
          <w:rFonts w:hint="eastAsia"/>
        </w:rPr>
        <w:t>——</w:t>
      </w:r>
      <w:proofErr w:type="gramStart"/>
      <w:r>
        <w:rPr>
          <w:rFonts w:hint="eastAsia"/>
        </w:rPr>
        <w:t>————————————————————————————————————————</w:t>
      </w:r>
      <w:proofErr w:type="gramEnd"/>
      <w:r>
        <w:rPr>
          <w:rFonts w:hint="eastAsia"/>
        </w:rPr>
        <w:t>—</w:t>
      </w:r>
    </w:p>
    <w:p w14:paraId="44C11A63" w14:textId="77777777" w:rsidR="00765931" w:rsidRDefault="000D50A6">
      <w:pPr>
        <w:tabs>
          <w:tab w:val="left" w:pos="657"/>
        </w:tabs>
        <w:spacing w:line="380" w:lineRule="exact"/>
        <w:rPr>
          <w:rFonts w:ascii="黑体" w:eastAsia="黑体" w:hAnsi="宋体"/>
          <w:szCs w:val="21"/>
        </w:rPr>
      </w:pPr>
      <w:r>
        <w:rPr>
          <w:rFonts w:ascii="黑体" w:eastAsia="黑体" w:hint="eastAsia"/>
          <w:szCs w:val="21"/>
        </w:rPr>
        <w:t>一、工作简况</w:t>
      </w:r>
    </w:p>
    <w:p w14:paraId="2AC4C252" w14:textId="77777777" w:rsidR="00765931" w:rsidRDefault="000D50A6">
      <w:pPr>
        <w:spacing w:line="380" w:lineRule="exact"/>
        <w:rPr>
          <w:rFonts w:ascii="宋体" w:hAnsi="宋体"/>
          <w:szCs w:val="21"/>
        </w:rPr>
      </w:pPr>
      <w:r>
        <w:rPr>
          <w:rFonts w:ascii="黑体" w:eastAsia="黑体" w:hAnsi="黑体" w:hint="eastAsia"/>
        </w:rPr>
        <w:t xml:space="preserve">1  </w:t>
      </w:r>
      <w:r>
        <w:rPr>
          <w:rFonts w:ascii="黑体" w:eastAsia="黑体" w:hAnsi="黑体" w:hint="eastAsia"/>
        </w:rPr>
        <w:t>任务来源</w:t>
      </w:r>
    </w:p>
    <w:p w14:paraId="65DA30D5" w14:textId="77777777" w:rsidR="00765931" w:rsidRDefault="000D50A6">
      <w:pPr>
        <w:tabs>
          <w:tab w:val="left" w:pos="1446"/>
        </w:tabs>
        <w:spacing w:line="380" w:lineRule="exact"/>
        <w:ind w:firstLineChars="200" w:firstLine="420"/>
      </w:pPr>
      <w:r>
        <w:rPr>
          <w:rFonts w:hint="eastAsia"/>
        </w:rPr>
        <w:t>根据中国文化办公设备制造行业协会</w:t>
      </w:r>
      <w:r>
        <w:rPr>
          <w:rFonts w:hint="eastAsia"/>
        </w:rPr>
        <w:t>[2026]26</w:t>
      </w:r>
      <w:r>
        <w:rPr>
          <w:rFonts w:hint="eastAsia"/>
        </w:rPr>
        <w:t>号《关于发布</w:t>
      </w:r>
      <w:r>
        <w:rPr>
          <w:rFonts w:hint="eastAsia"/>
        </w:rPr>
        <w:t>2026</w:t>
      </w:r>
      <w:r>
        <w:rPr>
          <w:rFonts w:hint="eastAsia"/>
        </w:rPr>
        <w:t>年第一批团体标准专项研究计划和征集参加单位的函》，由杭州照相机械研究所有限公司负责制定的计划编号为</w:t>
      </w:r>
      <w:r>
        <w:rPr>
          <w:rFonts w:hint="eastAsia"/>
        </w:rPr>
        <w:t>CCOEA2026-01</w:t>
      </w:r>
      <w:r>
        <w:rPr>
          <w:rFonts w:hint="eastAsia"/>
        </w:rPr>
        <w:t>《照相用电子闪光灯光辐射安全风险管控和评估指南》团体标准于</w:t>
      </w:r>
      <w:r>
        <w:rPr>
          <w:rFonts w:hint="eastAsia"/>
        </w:rPr>
        <w:t>2026</w:t>
      </w:r>
      <w:r>
        <w:rPr>
          <w:rFonts w:hint="eastAsia"/>
        </w:rPr>
        <w:t>年</w:t>
      </w:r>
      <w:r>
        <w:rPr>
          <w:rFonts w:hint="eastAsia"/>
        </w:rPr>
        <w:t>11</w:t>
      </w:r>
      <w:r>
        <w:rPr>
          <w:rFonts w:hint="eastAsia"/>
        </w:rPr>
        <w:t>月</w:t>
      </w:r>
      <w:r>
        <w:rPr>
          <w:rFonts w:hint="eastAsia"/>
        </w:rPr>
        <w:t>30</w:t>
      </w:r>
      <w:r>
        <w:rPr>
          <w:rFonts w:hint="eastAsia"/>
        </w:rPr>
        <w:t>日前完成。</w:t>
      </w:r>
    </w:p>
    <w:p w14:paraId="648322EB" w14:textId="77777777" w:rsidR="00765931" w:rsidRDefault="000D50A6">
      <w:pPr>
        <w:tabs>
          <w:tab w:val="left" w:pos="1446"/>
        </w:tabs>
        <w:spacing w:line="380" w:lineRule="exact"/>
        <w:ind w:firstLineChars="200" w:firstLine="420"/>
        <w:rPr>
          <w:rFonts w:ascii="宋体" w:hAnsi="宋体"/>
          <w:szCs w:val="21"/>
        </w:rPr>
      </w:pPr>
      <w:r>
        <w:t>本标准编制具备扎实的前期技术积累，已完成核心技术框架搭建，深度对标</w:t>
      </w:r>
      <w:r>
        <w:t>GB 44703-2024</w:t>
      </w:r>
      <w:r>
        <w:t>《光辐射安全通用要求》、</w:t>
      </w:r>
      <w:r>
        <w:t>GB/T 30117.1-2024</w:t>
      </w:r>
      <w:r>
        <w:t>等现行国家光辐射安全标准，充分</w:t>
      </w:r>
      <w:r>
        <w:rPr>
          <w:rFonts w:hint="eastAsia"/>
        </w:rPr>
        <w:t>吸收标准中的核心安全原则，同时针对电子闪光灯瞬时脉冲</w:t>
      </w:r>
      <w:r>
        <w:rPr>
          <w:rFonts w:hint="eastAsia"/>
        </w:rPr>
        <w:t>闪光的特殊工作模式，完成了多轮产品实测验证与行业调研。前期已联合多家头部闪光灯生产企业、第三方光辐射检测机构开展了数十款不同类型产品的光辐射</w:t>
      </w:r>
      <w:r>
        <w:t>参数测试，积累了覆盖内置、外置闪光灯的全场景实测数据，验证了</w:t>
      </w:r>
      <w:r>
        <w:rPr>
          <w:rFonts w:hint="eastAsia"/>
        </w:rPr>
        <w:t>闪光灯</w:t>
      </w:r>
      <w:r>
        <w:t>的风险评估方法的科学性与可行性。</w:t>
      </w:r>
      <w:r>
        <w:rPr>
          <w:rFonts w:hint="eastAsia"/>
        </w:rPr>
        <w:t>针对照相用电子闪光灯脉冲、短时、开放式应用的特点，建立专项风险评估方法和分类控制措施，是对具体产品领域的必要细化和补充，填补行业空白，明确安全要求。</w:t>
      </w:r>
    </w:p>
    <w:p w14:paraId="2BC4A93F" w14:textId="77777777" w:rsidR="00765931" w:rsidRDefault="000D50A6">
      <w:pPr>
        <w:tabs>
          <w:tab w:val="left" w:pos="1446"/>
        </w:tabs>
        <w:spacing w:line="380" w:lineRule="exact"/>
        <w:rPr>
          <w:rFonts w:ascii="宋体" w:hAnsi="宋体"/>
          <w:szCs w:val="21"/>
        </w:rPr>
      </w:pPr>
      <w:r>
        <w:rPr>
          <w:rFonts w:ascii="黑体" w:eastAsia="黑体" w:hAnsi="黑体" w:hint="eastAsia"/>
        </w:rPr>
        <w:t xml:space="preserve">2  </w:t>
      </w:r>
      <w:r>
        <w:rPr>
          <w:rFonts w:ascii="黑体" w:eastAsia="黑体" w:hAnsi="黑体" w:hint="eastAsia"/>
        </w:rPr>
        <w:t>主要工作过程</w:t>
      </w:r>
    </w:p>
    <w:p w14:paraId="48C808A4" w14:textId="77777777" w:rsidR="00765931" w:rsidRDefault="000D50A6">
      <w:pPr>
        <w:tabs>
          <w:tab w:val="left" w:pos="1446"/>
        </w:tabs>
        <w:spacing w:line="380" w:lineRule="exact"/>
        <w:ind w:firstLineChars="200" w:firstLine="422"/>
        <w:rPr>
          <w:rFonts w:ascii="宋体" w:hAnsi="宋体"/>
          <w:b/>
          <w:bCs/>
          <w:szCs w:val="21"/>
        </w:rPr>
      </w:pPr>
      <w:r>
        <w:rPr>
          <w:rFonts w:ascii="宋体" w:hAnsi="宋体" w:hint="eastAsia"/>
          <w:b/>
          <w:bCs/>
          <w:szCs w:val="21"/>
        </w:rPr>
        <w:t>起草</w:t>
      </w:r>
      <w:r>
        <w:rPr>
          <w:rFonts w:ascii="宋体" w:hAnsi="宋体" w:hint="eastAsia"/>
          <w:b/>
          <w:bCs/>
          <w:szCs w:val="21"/>
        </w:rPr>
        <w:t>(</w:t>
      </w:r>
      <w:r>
        <w:rPr>
          <w:rFonts w:ascii="宋体" w:hAnsi="宋体" w:hint="eastAsia"/>
          <w:b/>
          <w:bCs/>
          <w:szCs w:val="21"/>
        </w:rPr>
        <w:t>草案、论证</w:t>
      </w:r>
      <w:r>
        <w:rPr>
          <w:rFonts w:ascii="宋体" w:hAnsi="宋体" w:hint="eastAsia"/>
          <w:b/>
          <w:bCs/>
          <w:szCs w:val="21"/>
        </w:rPr>
        <w:t>)</w:t>
      </w:r>
      <w:r>
        <w:rPr>
          <w:rFonts w:ascii="宋体" w:hAnsi="宋体" w:hint="eastAsia"/>
          <w:b/>
          <w:bCs/>
          <w:szCs w:val="21"/>
        </w:rPr>
        <w:t>阶段</w:t>
      </w:r>
      <w:r>
        <w:rPr>
          <w:rFonts w:ascii="宋体" w:hAnsi="宋体" w:hint="eastAsia"/>
          <w:b/>
          <w:bCs/>
          <w:szCs w:val="21"/>
        </w:rPr>
        <w:t>：</w:t>
      </w:r>
    </w:p>
    <w:p w14:paraId="56D28320" w14:textId="77777777" w:rsidR="00765931" w:rsidRDefault="000D50A6">
      <w:pPr>
        <w:tabs>
          <w:tab w:val="left" w:pos="1446"/>
        </w:tabs>
        <w:spacing w:line="380" w:lineRule="exact"/>
        <w:ind w:firstLineChars="200" w:firstLine="420"/>
      </w:pPr>
      <w:r>
        <w:rPr>
          <w:rFonts w:ascii="宋体" w:hAnsi="宋体" w:hint="eastAsia"/>
          <w:szCs w:val="21"/>
        </w:rPr>
        <w:t>本标准由</w:t>
      </w:r>
      <w:bookmarkStart w:id="1" w:name="OLE_LINK3"/>
      <w:r>
        <w:rPr>
          <w:rFonts w:hint="eastAsia"/>
        </w:rPr>
        <w:t>中国文化办公设备制造行业协会</w:t>
      </w:r>
      <w:bookmarkEnd w:id="1"/>
      <w:r>
        <w:rPr>
          <w:rFonts w:hint="eastAsia"/>
        </w:rPr>
        <w:t>提出并</w:t>
      </w:r>
      <w:r>
        <w:rPr>
          <w:rFonts w:ascii="宋体" w:hAnsi="宋体" w:hint="eastAsia"/>
          <w:szCs w:val="21"/>
        </w:rPr>
        <w:t>归口，牵头起草单位为</w:t>
      </w:r>
      <w:r>
        <w:rPr>
          <w:rFonts w:ascii="宋体" w:hAnsi="宋体" w:hint="eastAsia"/>
        </w:rPr>
        <w:t>杭州照相机械研究</w:t>
      </w:r>
      <w:r>
        <w:rPr>
          <w:rFonts w:ascii="宋体" w:hAnsi="宋体" w:hint="eastAsia"/>
        </w:rPr>
        <w:t>所有限公司</w:t>
      </w:r>
      <w:r>
        <w:rPr>
          <w:rFonts w:ascii="宋体" w:hAnsi="宋体" w:hint="eastAsia"/>
          <w:szCs w:val="21"/>
        </w:rPr>
        <w:t>。</w:t>
      </w:r>
      <w:r>
        <w:rPr>
          <w:rFonts w:ascii="宋体" w:hAnsi="宋体" w:hint="eastAsia"/>
          <w:szCs w:val="21"/>
        </w:rPr>
        <w:t>2</w:t>
      </w:r>
      <w:r>
        <w:rPr>
          <w:rFonts w:ascii="宋体" w:hAnsi="宋体"/>
          <w:szCs w:val="21"/>
        </w:rPr>
        <w:t>02</w:t>
      </w:r>
      <w:r>
        <w:rPr>
          <w:rFonts w:ascii="宋体" w:hAnsi="宋体" w:hint="eastAsia"/>
          <w:szCs w:val="21"/>
        </w:rPr>
        <w:t>6</w:t>
      </w:r>
      <w:r>
        <w:rPr>
          <w:rFonts w:ascii="宋体" w:hAnsi="宋体" w:hint="eastAsia"/>
          <w:szCs w:val="21"/>
        </w:rPr>
        <w:t>年</w:t>
      </w:r>
      <w:r>
        <w:rPr>
          <w:rFonts w:ascii="宋体" w:hAnsi="宋体" w:hint="eastAsia"/>
          <w:szCs w:val="21"/>
        </w:rPr>
        <w:t>6</w:t>
      </w:r>
      <w:r>
        <w:rPr>
          <w:rFonts w:ascii="宋体" w:hAnsi="宋体" w:hint="eastAsia"/>
          <w:szCs w:val="21"/>
        </w:rPr>
        <w:t>月</w:t>
      </w:r>
      <w:r>
        <w:rPr>
          <w:rFonts w:hint="eastAsia"/>
        </w:rPr>
        <w:t>中国文化办公设备制造行业协会</w:t>
      </w:r>
      <w:r>
        <w:rPr>
          <w:rFonts w:ascii="宋体" w:hAnsi="宋体" w:hint="eastAsia"/>
          <w:szCs w:val="21"/>
        </w:rPr>
        <w:t>下达制定计划，并委托照相机械分会组织组建起草工作组，承担该项标准的起草工作。照相机械分会组织起草单位于</w:t>
      </w:r>
      <w:r>
        <w:rPr>
          <w:rFonts w:ascii="宋体" w:hAnsi="宋体" w:hint="eastAsia"/>
          <w:szCs w:val="21"/>
        </w:rPr>
        <w:t>2</w:t>
      </w:r>
      <w:r>
        <w:rPr>
          <w:rFonts w:ascii="宋体" w:hAnsi="宋体"/>
          <w:szCs w:val="21"/>
        </w:rPr>
        <w:t>02</w:t>
      </w:r>
      <w:r>
        <w:rPr>
          <w:rFonts w:ascii="宋体" w:hAnsi="宋体" w:hint="eastAsia"/>
          <w:szCs w:val="21"/>
        </w:rPr>
        <w:t>6</w:t>
      </w:r>
      <w:r>
        <w:rPr>
          <w:rFonts w:ascii="宋体" w:hAnsi="宋体" w:hint="eastAsia"/>
          <w:szCs w:val="21"/>
        </w:rPr>
        <w:t>年</w:t>
      </w:r>
      <w:r>
        <w:rPr>
          <w:rFonts w:ascii="宋体" w:hAnsi="宋体" w:hint="eastAsia"/>
          <w:szCs w:val="21"/>
        </w:rPr>
        <w:t>7</w:t>
      </w:r>
      <w:r>
        <w:rPr>
          <w:rFonts w:ascii="宋体" w:hAnsi="宋体" w:hint="eastAsia"/>
          <w:szCs w:val="21"/>
        </w:rPr>
        <w:t>月在杭州成立了“</w:t>
      </w:r>
      <w:r>
        <w:rPr>
          <w:rFonts w:ascii="宋体" w:hAnsi="宋体" w:hint="eastAsia"/>
          <w:spacing w:val="-6"/>
          <w:szCs w:val="21"/>
        </w:rPr>
        <w:t>照相用电子闪光灯光辐射安全风险管控和评估指南</w:t>
      </w:r>
      <w:r>
        <w:rPr>
          <w:rFonts w:ascii="宋体" w:hAnsi="宋体" w:hint="eastAsia"/>
          <w:szCs w:val="21"/>
        </w:rPr>
        <w:t>”起草工作组，确定参与标准编制的起草单</w:t>
      </w:r>
      <w:r>
        <w:rPr>
          <w:rFonts w:ascii="宋体" w:hAnsi="宋体" w:hint="eastAsia"/>
          <w:spacing w:val="-6"/>
          <w:szCs w:val="21"/>
        </w:rPr>
        <w:t>位</w:t>
      </w:r>
      <w:r>
        <w:rPr>
          <w:rFonts w:ascii="宋体" w:hAnsi="宋体" w:hint="eastAsia"/>
          <w:szCs w:val="21"/>
        </w:rPr>
        <w:t>、起草人和具体分工，确定工作方案。起草工作组在工作过程中广泛收集、分析国内外相关</w:t>
      </w:r>
      <w:r>
        <w:rPr>
          <w:rFonts w:hint="eastAsia"/>
        </w:rPr>
        <w:t>技术文献和资料，结合行</w:t>
      </w:r>
      <w:bookmarkStart w:id="2" w:name="OLE_LINK2"/>
      <w:bookmarkStart w:id="3" w:name="OLE_LINK1"/>
      <w:r>
        <w:rPr>
          <w:rFonts w:hint="eastAsia"/>
        </w:rPr>
        <w:t>业内</w:t>
      </w:r>
      <w:bookmarkEnd w:id="2"/>
      <w:bookmarkEnd w:id="3"/>
      <w:r>
        <w:rPr>
          <w:rFonts w:hint="eastAsia"/>
        </w:rPr>
        <w:t>闪光灯实际应用经验，对其进行梳理，于</w:t>
      </w:r>
      <w:r>
        <w:rPr>
          <w:rFonts w:hint="eastAsia"/>
        </w:rPr>
        <w:t>2026</w:t>
      </w:r>
      <w:r>
        <w:rPr>
          <w:rFonts w:hint="eastAsia"/>
        </w:rPr>
        <w:t>年</w:t>
      </w:r>
      <w:r>
        <w:rPr>
          <w:rFonts w:hint="eastAsia"/>
        </w:rPr>
        <w:t>8</w:t>
      </w:r>
      <w:r>
        <w:rPr>
          <w:rFonts w:hint="eastAsia"/>
        </w:rPr>
        <w:t>月</w:t>
      </w:r>
      <w:r>
        <w:rPr>
          <w:rFonts w:hint="eastAsia"/>
        </w:rPr>
        <w:t>7</w:t>
      </w:r>
      <w:r>
        <w:rPr>
          <w:rFonts w:hint="eastAsia"/>
        </w:rPr>
        <w:t>日形成标准征求意见稿草案，提交到协会秘书处。</w:t>
      </w:r>
    </w:p>
    <w:p w14:paraId="55239988" w14:textId="77777777" w:rsidR="00765931" w:rsidRDefault="000D50A6">
      <w:pPr>
        <w:tabs>
          <w:tab w:val="left" w:pos="1446"/>
        </w:tabs>
        <w:spacing w:line="380" w:lineRule="exact"/>
        <w:ind w:firstLineChars="200" w:firstLine="420"/>
      </w:pPr>
      <w:r>
        <w:rPr>
          <w:rFonts w:hint="eastAsia"/>
        </w:rPr>
        <w:t>经中国文化办公设备制造行业协会秘书处审核并提出意见和建议，起草组对标准进行了进一步修改。于</w:t>
      </w:r>
      <w:r>
        <w:rPr>
          <w:rFonts w:hint="eastAsia"/>
        </w:rPr>
        <w:t>2026</w:t>
      </w:r>
      <w:r>
        <w:rPr>
          <w:rFonts w:hint="eastAsia"/>
        </w:rPr>
        <w:t>年</w:t>
      </w:r>
      <w:r>
        <w:rPr>
          <w:rFonts w:hint="eastAsia"/>
        </w:rPr>
        <w:t>9</w:t>
      </w:r>
      <w:r>
        <w:rPr>
          <w:rFonts w:hint="eastAsia"/>
        </w:rPr>
        <w:t>月</w:t>
      </w:r>
      <w:r>
        <w:rPr>
          <w:rFonts w:hint="eastAsia"/>
        </w:rPr>
        <w:t>10</w:t>
      </w:r>
      <w:r>
        <w:rPr>
          <w:rFonts w:hint="eastAsia"/>
        </w:rPr>
        <w:t>日，正式提交了用于公示的征求意见稿和编制说明。</w:t>
      </w:r>
    </w:p>
    <w:p w14:paraId="584EB55D" w14:textId="77777777" w:rsidR="00765931" w:rsidRDefault="000D50A6">
      <w:pPr>
        <w:tabs>
          <w:tab w:val="left" w:pos="657"/>
        </w:tabs>
        <w:spacing w:line="360" w:lineRule="exact"/>
        <w:ind w:firstLineChars="200" w:firstLine="422"/>
        <w:rPr>
          <w:rFonts w:ascii="宋体" w:hAnsi="宋体"/>
          <w:b/>
          <w:bCs/>
          <w:szCs w:val="21"/>
        </w:rPr>
      </w:pPr>
      <w:r>
        <w:rPr>
          <w:rFonts w:ascii="宋体" w:hAnsi="宋体" w:hint="eastAsia"/>
          <w:b/>
          <w:bCs/>
          <w:szCs w:val="21"/>
        </w:rPr>
        <w:t>征求意见阶段：</w:t>
      </w:r>
    </w:p>
    <w:p w14:paraId="32E66D1B" w14:textId="77777777" w:rsidR="00765931" w:rsidRDefault="000D50A6">
      <w:pPr>
        <w:tabs>
          <w:tab w:val="left" w:pos="657"/>
        </w:tabs>
        <w:spacing w:line="360" w:lineRule="exact"/>
        <w:ind w:firstLineChars="200" w:firstLine="422"/>
        <w:rPr>
          <w:rFonts w:ascii="宋体" w:hAnsi="宋体" w:cs="宋体"/>
          <w:szCs w:val="21"/>
        </w:rPr>
      </w:pPr>
      <w:r>
        <w:rPr>
          <w:rFonts w:ascii="宋体" w:hAnsi="宋体" w:hint="eastAsia"/>
          <w:b/>
          <w:szCs w:val="21"/>
        </w:rPr>
        <w:t>审查阶段：</w:t>
      </w:r>
    </w:p>
    <w:p w14:paraId="7D82B935" w14:textId="77777777" w:rsidR="00765931" w:rsidRDefault="000D50A6">
      <w:pPr>
        <w:pStyle w:val="a6"/>
        <w:spacing w:line="380" w:lineRule="exact"/>
        <w:rPr>
          <w:rFonts w:ascii="黑体" w:eastAsia="黑体" w:hAnsi="黑体"/>
        </w:rPr>
      </w:pPr>
      <w:r>
        <w:rPr>
          <w:rFonts w:ascii="黑体" w:eastAsia="黑体" w:hAnsi="黑体" w:hint="eastAsia"/>
        </w:rPr>
        <w:t xml:space="preserve">3  </w:t>
      </w:r>
      <w:r>
        <w:rPr>
          <w:rFonts w:ascii="黑体" w:eastAsia="黑体" w:hAnsi="黑体" w:hint="eastAsia"/>
        </w:rPr>
        <w:t>主要参加单位和工作组成员及其所做的工作等</w:t>
      </w:r>
    </w:p>
    <w:p w14:paraId="679B290B" w14:textId="77777777" w:rsidR="00765931" w:rsidRDefault="000D50A6">
      <w:pPr>
        <w:pStyle w:val="1"/>
        <w:keepNext w:val="0"/>
        <w:widowControl/>
        <w:shd w:val="clear" w:color="auto" w:fill="FFFFFF"/>
        <w:spacing w:line="400" w:lineRule="exact"/>
        <w:ind w:firstLineChars="200" w:firstLine="420"/>
        <w:rPr>
          <w:rFonts w:ascii="宋体" w:hAnsi="宋体"/>
          <w:sz w:val="21"/>
          <w:szCs w:val="21"/>
        </w:rPr>
      </w:pPr>
      <w:r>
        <w:rPr>
          <w:rFonts w:ascii="宋体" w:hAnsi="宋体" w:hint="eastAsia"/>
          <w:sz w:val="21"/>
          <w:szCs w:val="21"/>
        </w:rPr>
        <w:t>工作组由以下单位组成：杭州照相机械研究所有限公司、尼康映像仪器销售（中国）有限公司、佳能（中国）有限公司、富士胶片（中国）投资有限公司、索尼</w:t>
      </w:r>
      <w:r>
        <w:rPr>
          <w:rFonts w:ascii="宋体" w:hAnsi="宋体" w:hint="eastAsia"/>
          <w:sz w:val="21"/>
          <w:szCs w:val="21"/>
        </w:rPr>
        <w:t>(</w:t>
      </w:r>
      <w:r>
        <w:rPr>
          <w:rFonts w:ascii="宋体" w:hAnsi="宋体" w:hint="eastAsia"/>
          <w:sz w:val="21"/>
          <w:szCs w:val="21"/>
        </w:rPr>
        <w:t>中国</w:t>
      </w:r>
      <w:r>
        <w:rPr>
          <w:rFonts w:ascii="宋体" w:hAnsi="宋体" w:hint="eastAsia"/>
          <w:sz w:val="21"/>
          <w:szCs w:val="21"/>
        </w:rPr>
        <w:t>)</w:t>
      </w:r>
      <w:r>
        <w:rPr>
          <w:rFonts w:ascii="宋体" w:hAnsi="宋体" w:hint="eastAsia"/>
          <w:sz w:val="21"/>
          <w:szCs w:val="21"/>
        </w:rPr>
        <w:t>有限公司、</w:t>
      </w:r>
      <w:proofErr w:type="gramStart"/>
      <w:r>
        <w:rPr>
          <w:rFonts w:ascii="宋体" w:hAnsi="宋体" w:hint="eastAsia"/>
          <w:sz w:val="21"/>
          <w:szCs w:val="21"/>
        </w:rPr>
        <w:t>杭州国照</w:t>
      </w:r>
      <w:proofErr w:type="gramEnd"/>
      <w:r>
        <w:rPr>
          <w:rFonts w:ascii="宋体" w:hAnsi="宋体" w:hint="eastAsia"/>
          <w:sz w:val="21"/>
          <w:szCs w:val="21"/>
        </w:rPr>
        <w:t>检测技术有限公司、</w:t>
      </w:r>
      <w:r>
        <w:rPr>
          <w:rFonts w:ascii="宋体" w:hAnsi="宋体"/>
          <w:sz w:val="21"/>
          <w:szCs w:val="21"/>
        </w:rPr>
        <w:t>杭州远方光电信息股份有限公司</w:t>
      </w:r>
      <w:r>
        <w:rPr>
          <w:rFonts w:ascii="宋体" w:hAnsi="宋体" w:hint="eastAsia"/>
          <w:sz w:val="21"/>
          <w:szCs w:val="21"/>
        </w:rPr>
        <w:t>。</w:t>
      </w:r>
    </w:p>
    <w:p w14:paraId="63EF376A" w14:textId="77777777" w:rsidR="00765931" w:rsidRDefault="000D50A6">
      <w:pPr>
        <w:spacing w:line="400" w:lineRule="exact"/>
        <w:ind w:firstLineChars="200" w:firstLine="420"/>
        <w:rPr>
          <w:rFonts w:ascii="宋体" w:hAnsi="宋体"/>
          <w:szCs w:val="21"/>
        </w:rPr>
      </w:pPr>
      <w:r>
        <w:rPr>
          <w:rFonts w:ascii="宋体" w:hAnsi="宋体" w:hint="eastAsia"/>
          <w:szCs w:val="21"/>
        </w:rPr>
        <w:t>标准主要起草人：任森、王刚、张海英、高峻、冉新、肖江、唐小艺、胡耀明、杨怡靖、葛世清、程一凡、王均、李倩。</w:t>
      </w:r>
    </w:p>
    <w:p w14:paraId="58F0A49D" w14:textId="77777777" w:rsidR="00765931" w:rsidRDefault="000D50A6">
      <w:pPr>
        <w:spacing w:line="400" w:lineRule="exact"/>
        <w:ind w:firstLineChars="200" w:firstLine="420"/>
        <w:rPr>
          <w:rFonts w:ascii="宋体" w:hAnsi="宋体"/>
          <w:szCs w:val="21"/>
        </w:rPr>
      </w:pPr>
      <w:r>
        <w:rPr>
          <w:rFonts w:ascii="宋体" w:hAnsi="宋体" w:hint="eastAsia"/>
          <w:szCs w:val="21"/>
        </w:rPr>
        <w:t>工作分工：</w:t>
      </w:r>
      <w:proofErr w:type="gramStart"/>
      <w:r>
        <w:rPr>
          <w:rFonts w:ascii="宋体" w:hAnsi="宋体" w:hint="eastAsia"/>
          <w:szCs w:val="21"/>
        </w:rPr>
        <w:t>任森任</w:t>
      </w:r>
      <w:proofErr w:type="gramEnd"/>
      <w:r>
        <w:rPr>
          <w:rFonts w:ascii="宋体" w:hAnsi="宋体" w:hint="eastAsia"/>
          <w:szCs w:val="21"/>
        </w:rPr>
        <w:t>工作组组长，主持全面协调工作及主要执笔人，李倩、王刚负责标准总体技术把关；程一凡、王均负责测试流程的验证工作，胡耀明、肖江、冉新负责标准前期资料搜索整理；葛世清负责格式校对</w:t>
      </w:r>
      <w:r>
        <w:rPr>
          <w:rFonts w:ascii="宋体" w:hAnsi="宋体" w:hint="eastAsia"/>
          <w:szCs w:val="21"/>
        </w:rPr>
        <w:t>并参与标准起草研讨；张海英、高峻负责意见征集及内容修改；唐小艺、杨怡</w:t>
      </w:r>
      <w:r>
        <w:rPr>
          <w:rFonts w:ascii="宋体" w:hAnsi="宋体" w:hint="eastAsia"/>
          <w:szCs w:val="21"/>
        </w:rPr>
        <w:lastRenderedPageBreak/>
        <w:t>靖负责会议组织安排、标准进度把控。</w:t>
      </w:r>
    </w:p>
    <w:p w14:paraId="572256EF" w14:textId="77777777" w:rsidR="00765931" w:rsidRDefault="00765931">
      <w:pPr>
        <w:pStyle w:val="a6"/>
        <w:spacing w:line="380" w:lineRule="exact"/>
        <w:rPr>
          <w:rFonts w:ascii="黑体" w:eastAsia="黑体" w:hAnsi="黑体"/>
        </w:rPr>
      </w:pPr>
    </w:p>
    <w:p w14:paraId="67B0297D" w14:textId="77777777" w:rsidR="00765931" w:rsidRDefault="000D50A6">
      <w:pPr>
        <w:tabs>
          <w:tab w:val="left" w:pos="1446"/>
        </w:tabs>
        <w:spacing w:line="380" w:lineRule="exact"/>
        <w:rPr>
          <w:rFonts w:ascii="黑体" w:eastAsia="黑体" w:hAnsi="宋体"/>
          <w:szCs w:val="21"/>
        </w:rPr>
      </w:pPr>
      <w:r>
        <w:rPr>
          <w:rFonts w:ascii="黑体" w:eastAsia="黑体" w:hAnsi="宋体" w:hint="eastAsia"/>
          <w:szCs w:val="21"/>
        </w:rPr>
        <w:t>二、编制原则、主要内容及其确定依据</w:t>
      </w:r>
    </w:p>
    <w:p w14:paraId="1A138C02" w14:textId="77777777" w:rsidR="00765931" w:rsidRDefault="000D50A6">
      <w:pPr>
        <w:tabs>
          <w:tab w:val="left" w:pos="1446"/>
        </w:tabs>
        <w:spacing w:line="380" w:lineRule="exact"/>
        <w:rPr>
          <w:rFonts w:ascii="宋体" w:hAnsi="宋体"/>
        </w:rPr>
      </w:pPr>
      <w:r>
        <w:rPr>
          <w:rFonts w:ascii="黑体" w:eastAsia="黑体" w:hAnsi="黑体" w:hint="eastAsia"/>
        </w:rPr>
        <w:t xml:space="preserve">1  </w:t>
      </w:r>
      <w:r>
        <w:rPr>
          <w:rFonts w:ascii="黑体" w:eastAsia="黑体" w:hAnsi="宋体" w:hint="eastAsia"/>
          <w:szCs w:val="21"/>
        </w:rPr>
        <w:t>编制原则</w:t>
      </w:r>
    </w:p>
    <w:p w14:paraId="444597A0" w14:textId="77777777" w:rsidR="00765931" w:rsidRDefault="000D50A6">
      <w:pPr>
        <w:tabs>
          <w:tab w:val="left" w:pos="1446"/>
        </w:tabs>
        <w:spacing w:line="380" w:lineRule="exact"/>
        <w:ind w:firstLineChars="200" w:firstLine="420"/>
        <w:rPr>
          <w:rFonts w:ascii="宋体" w:hAnsi="宋体"/>
        </w:rPr>
      </w:pPr>
      <w:r>
        <w:rPr>
          <w:rFonts w:ascii="宋体" w:hAnsi="宋体" w:hint="eastAsia"/>
        </w:rPr>
        <w:t>本标准在制定工作中遵循“面向市场、服务产业、自主制定、适时推出、及时修订、不断完善”的原则，标准</w:t>
      </w:r>
      <w:r>
        <w:rPr>
          <w:rFonts w:ascii="宋体" w:hAnsi="宋体" w:hint="eastAsia"/>
        </w:rPr>
        <w:t>制定</w:t>
      </w:r>
      <w:r>
        <w:rPr>
          <w:rFonts w:ascii="宋体" w:hAnsi="宋体" w:hint="eastAsia"/>
        </w:rPr>
        <w:t>与技术创新、试验验证、产业推进、应用推广相结合。</w:t>
      </w:r>
    </w:p>
    <w:p w14:paraId="64A26610" w14:textId="77777777" w:rsidR="00765931" w:rsidRDefault="000D50A6">
      <w:pPr>
        <w:tabs>
          <w:tab w:val="left" w:pos="1446"/>
        </w:tabs>
        <w:spacing w:line="380" w:lineRule="exact"/>
        <w:ind w:firstLineChars="200" w:firstLine="420"/>
        <w:rPr>
          <w:rFonts w:ascii="宋体" w:hAnsi="宋体"/>
        </w:rPr>
      </w:pPr>
      <w:r>
        <w:rPr>
          <w:rFonts w:ascii="宋体" w:hAnsi="宋体" w:hint="eastAsia"/>
        </w:rPr>
        <w:t>本标准在结构</w:t>
      </w:r>
      <w:r>
        <w:rPr>
          <w:rFonts w:ascii="宋体" w:hAnsi="宋体" w:hint="eastAsia"/>
          <w:color w:val="FF0000"/>
        </w:rPr>
        <w:t>、</w:t>
      </w:r>
      <w:r>
        <w:rPr>
          <w:rFonts w:ascii="宋体" w:hAnsi="宋体" w:hint="eastAsia"/>
        </w:rPr>
        <w:t>编写和内容编排等方面按照</w:t>
      </w:r>
      <w:r>
        <w:rPr>
          <w:rFonts w:ascii="宋体" w:hAnsi="宋体" w:hint="eastAsia"/>
        </w:rPr>
        <w:t>GB/T 1.1-202</w:t>
      </w:r>
      <w:r>
        <w:rPr>
          <w:rFonts w:hint="eastAsia"/>
        </w:rPr>
        <w:t>0</w:t>
      </w:r>
      <w:r>
        <w:rPr>
          <w:rFonts w:hint="eastAsia"/>
        </w:rPr>
        <w:t>的要求进</w:t>
      </w:r>
      <w:r>
        <w:rPr>
          <w:rFonts w:ascii="宋体" w:hAnsi="宋体" w:hint="eastAsia"/>
        </w:rPr>
        <w:t>行编写。在修订本标准主要技术性能指标时，综合考虑生产企业的能力和用户的利益，寻求最大的经济、社会效益，充分体现了标准在技术上的先进性和合理性。</w:t>
      </w:r>
    </w:p>
    <w:p w14:paraId="5AC036BA" w14:textId="77777777" w:rsidR="00765931" w:rsidRDefault="000D50A6">
      <w:pPr>
        <w:pStyle w:val="a6"/>
        <w:adjustRightInd/>
        <w:spacing w:line="380" w:lineRule="exact"/>
      </w:pPr>
      <w:r>
        <w:rPr>
          <w:rFonts w:ascii="黑体" w:eastAsia="黑体" w:hAnsi="黑体" w:hint="eastAsia"/>
        </w:rPr>
        <w:t xml:space="preserve">2  </w:t>
      </w:r>
      <w:r>
        <w:rPr>
          <w:rFonts w:ascii="黑体" w:eastAsia="黑体" w:hAnsi="宋体" w:hint="eastAsia"/>
          <w:szCs w:val="21"/>
        </w:rPr>
        <w:t>主要内容及其确定依据</w:t>
      </w:r>
    </w:p>
    <w:p w14:paraId="7AF87532" w14:textId="77777777" w:rsidR="00765931" w:rsidRDefault="000D50A6">
      <w:pPr>
        <w:pStyle w:val="af8"/>
        <w:ind w:firstLine="420"/>
      </w:pPr>
      <w:r>
        <w:rPr>
          <w:rFonts w:hint="eastAsia"/>
        </w:rPr>
        <w:t>本文件规定了内置式或外置式照相用电子闪光灯产品及其工作过程的光辐射安全风险通用分级和专业分类、管理控制和标识要求、评估准则和评估方法。</w:t>
      </w:r>
    </w:p>
    <w:p w14:paraId="1DD5B863" w14:textId="77777777" w:rsidR="00765931" w:rsidRDefault="000D50A6">
      <w:pPr>
        <w:pStyle w:val="af8"/>
        <w:ind w:firstLine="420"/>
      </w:pPr>
      <w:r>
        <w:rPr>
          <w:rFonts w:hint="eastAsia"/>
        </w:rPr>
        <w:t>本文件适用于普通消费者家庭或在公共</w:t>
      </w:r>
      <w:r>
        <w:rPr>
          <w:rFonts w:hint="eastAsia"/>
        </w:rPr>
        <w:t>场所</w:t>
      </w:r>
      <w:r>
        <w:rPr>
          <w:rFonts w:hint="eastAsia"/>
        </w:rPr>
        <w:t>使用的，在</w:t>
      </w:r>
      <w:r>
        <w:rPr>
          <w:rFonts w:hint="eastAsia"/>
        </w:rPr>
        <w:t xml:space="preserve"> 200nm~3</w:t>
      </w:r>
      <w:r>
        <w:rPr>
          <w:rFonts w:hAnsi="宋体" w:cs="宋体" w:hint="eastAsia"/>
        </w:rPr>
        <w:t>μ</w:t>
      </w:r>
      <w:r>
        <w:rPr>
          <w:rFonts w:hAnsi="宋体" w:cs="宋体" w:hint="eastAsia"/>
        </w:rPr>
        <w:t>m</w:t>
      </w:r>
      <w:r>
        <w:rPr>
          <w:rFonts w:hint="eastAsia"/>
        </w:rPr>
        <w:t>波段范围内，以脉冲方式工作的照相用电子闪光灯产品及其工作过程的非相干光的光辐射安全。</w:t>
      </w:r>
    </w:p>
    <w:p w14:paraId="6157007D" w14:textId="77777777" w:rsidR="00765931" w:rsidRDefault="000D50A6">
      <w:pPr>
        <w:pStyle w:val="af8"/>
        <w:ind w:firstLine="420"/>
      </w:pPr>
      <w:r>
        <w:rPr>
          <w:rFonts w:hint="eastAsia"/>
        </w:rPr>
        <w:t>本文件</w:t>
      </w:r>
      <w:r>
        <w:t>不适用于影室</w:t>
      </w:r>
      <w:r>
        <w:rPr>
          <w:rFonts w:hint="eastAsia"/>
        </w:rPr>
        <w:t>拍摄用高功率（持续）光源</w:t>
      </w:r>
      <w:r>
        <w:t>闪光灯</w:t>
      </w:r>
      <w:r>
        <w:rPr>
          <w:rFonts w:hint="eastAsia"/>
        </w:rPr>
        <w:t>、</w:t>
      </w:r>
      <w:r>
        <w:rPr>
          <w:rFonts w:hint="eastAsia"/>
        </w:rPr>
        <w:t>大功率影室闪光装置、</w:t>
      </w:r>
      <w:r>
        <w:t>连续光辐射光源</w:t>
      </w:r>
      <w:r>
        <w:rPr>
          <w:rFonts w:hint="eastAsia"/>
        </w:rPr>
        <w:t>以</w:t>
      </w:r>
      <w:r>
        <w:t>及</w:t>
      </w:r>
      <w:r>
        <w:rPr>
          <w:rFonts w:hint="eastAsia"/>
        </w:rPr>
        <w:t>工业、医疗、科研等专业领域的特殊闪光光源。</w:t>
      </w:r>
    </w:p>
    <w:p w14:paraId="3C332860" w14:textId="77777777" w:rsidR="00765931" w:rsidRDefault="000D50A6">
      <w:pPr>
        <w:tabs>
          <w:tab w:val="left" w:pos="657"/>
        </w:tabs>
        <w:spacing w:line="380" w:lineRule="exact"/>
        <w:ind w:firstLineChars="200" w:firstLine="420"/>
        <w:rPr>
          <w:rFonts w:ascii="Calibri" w:eastAsiaTheme="minorEastAsia" w:hAnsi="Calibri"/>
          <w:szCs w:val="21"/>
        </w:rPr>
      </w:pPr>
      <w:r>
        <w:rPr>
          <w:rFonts w:ascii="宋体" w:hint="eastAsia"/>
        </w:rPr>
        <w:t>‌主要技术内容‌：</w:t>
      </w:r>
      <w:bookmarkStart w:id="4" w:name="_Toc238641368"/>
      <w:bookmarkStart w:id="5" w:name="_Toc28972"/>
      <w:r>
        <w:rPr>
          <w:rFonts w:ascii="宋体" w:hint="eastAsia"/>
        </w:rPr>
        <w:t>光辐射安全风险通用分级和专业分类</w:t>
      </w:r>
      <w:bookmarkEnd w:id="4"/>
      <w:bookmarkEnd w:id="5"/>
      <w:r>
        <w:rPr>
          <w:rFonts w:ascii="宋体" w:hint="eastAsia"/>
        </w:rPr>
        <w:t>、</w:t>
      </w:r>
      <w:bookmarkStart w:id="6" w:name="_Toc14952"/>
      <w:bookmarkStart w:id="7" w:name="_Toc238641369"/>
      <w:r>
        <w:rPr>
          <w:rFonts w:ascii="宋体" w:hint="eastAsia"/>
        </w:rPr>
        <w:t>光辐</w:t>
      </w:r>
      <w:r>
        <w:rPr>
          <w:rFonts w:ascii="宋体" w:hint="eastAsia"/>
        </w:rPr>
        <w:t>射安全管理和控制要求</w:t>
      </w:r>
      <w:bookmarkEnd w:id="6"/>
      <w:bookmarkEnd w:id="7"/>
      <w:r>
        <w:rPr>
          <w:rFonts w:ascii="宋体" w:hint="eastAsia"/>
        </w:rPr>
        <w:t>、</w:t>
      </w:r>
      <w:bookmarkStart w:id="8" w:name="_Toc10478765"/>
      <w:bookmarkStart w:id="9" w:name="_Toc18289"/>
      <w:bookmarkStart w:id="10" w:name="_Toc238641370"/>
      <w:r>
        <w:rPr>
          <w:rFonts w:ascii="宋体" w:hint="eastAsia"/>
        </w:rPr>
        <w:t>光辐射安全风险评</w:t>
      </w:r>
      <w:bookmarkEnd w:id="8"/>
      <w:r>
        <w:rPr>
          <w:rFonts w:ascii="宋体" w:hint="eastAsia"/>
        </w:rPr>
        <w:t>估</w:t>
      </w:r>
      <w:bookmarkEnd w:id="9"/>
      <w:bookmarkEnd w:id="10"/>
      <w:r>
        <w:rPr>
          <w:rFonts w:ascii="宋体" w:hint="eastAsia"/>
        </w:rPr>
        <w:t>等</w:t>
      </w:r>
      <w:r>
        <w:rPr>
          <w:rFonts w:ascii="Calibri" w:eastAsiaTheme="minorEastAsia" w:hAnsi="Calibri"/>
          <w:szCs w:val="21"/>
        </w:rPr>
        <w:t>。</w:t>
      </w:r>
    </w:p>
    <w:p w14:paraId="7F2CB8D2" w14:textId="77777777" w:rsidR="00765931" w:rsidRDefault="00765931">
      <w:pPr>
        <w:tabs>
          <w:tab w:val="left" w:pos="657"/>
        </w:tabs>
        <w:spacing w:line="380" w:lineRule="exact"/>
        <w:rPr>
          <w:rFonts w:ascii="Calibri" w:hAnsi="Calibri"/>
          <w:szCs w:val="21"/>
        </w:rPr>
      </w:pPr>
    </w:p>
    <w:p w14:paraId="72A7932E" w14:textId="77777777" w:rsidR="00765931" w:rsidRDefault="000D50A6">
      <w:pPr>
        <w:tabs>
          <w:tab w:val="left" w:pos="657"/>
        </w:tabs>
        <w:spacing w:line="380" w:lineRule="exact"/>
        <w:rPr>
          <w:rFonts w:ascii="黑体" w:eastAsia="黑体"/>
          <w:szCs w:val="21"/>
        </w:rPr>
      </w:pPr>
      <w:r>
        <w:rPr>
          <w:rFonts w:ascii="黑体" w:eastAsia="黑体" w:hint="eastAsia"/>
          <w:szCs w:val="21"/>
        </w:rPr>
        <w:t>三、试验验证分析、综述报告，</w:t>
      </w:r>
      <w:bookmarkStart w:id="11" w:name="OLE_LINK6"/>
      <w:r>
        <w:rPr>
          <w:rFonts w:ascii="黑体" w:eastAsia="黑体" w:hint="eastAsia"/>
          <w:szCs w:val="21"/>
        </w:rPr>
        <w:t>技术经济论证，</w:t>
      </w:r>
      <w:bookmarkEnd w:id="11"/>
      <w:r>
        <w:rPr>
          <w:rFonts w:ascii="黑体" w:eastAsia="黑体" w:hint="eastAsia"/>
          <w:szCs w:val="21"/>
        </w:rPr>
        <w:t>预期的经济效益、社会效益和生态效益</w:t>
      </w:r>
    </w:p>
    <w:p w14:paraId="5F6010EE" w14:textId="77777777" w:rsidR="00765931" w:rsidRDefault="000D50A6">
      <w:pPr>
        <w:tabs>
          <w:tab w:val="left" w:pos="438"/>
          <w:tab w:val="left" w:pos="657"/>
        </w:tabs>
        <w:spacing w:line="380" w:lineRule="exact"/>
        <w:rPr>
          <w:rFonts w:ascii="宋体" w:hAnsi="宋体"/>
        </w:rPr>
      </w:pPr>
      <w:r>
        <w:rPr>
          <w:rFonts w:ascii="黑体" w:eastAsia="黑体" w:hint="eastAsia"/>
          <w:szCs w:val="21"/>
        </w:rPr>
        <w:t xml:space="preserve">1  </w:t>
      </w:r>
      <w:r>
        <w:rPr>
          <w:rFonts w:ascii="黑体" w:eastAsia="黑体" w:hint="eastAsia"/>
          <w:szCs w:val="21"/>
        </w:rPr>
        <w:t>试验验证分析、综述报告</w:t>
      </w:r>
    </w:p>
    <w:p w14:paraId="17A62CF2" w14:textId="77777777" w:rsidR="00765931" w:rsidRDefault="00765931">
      <w:pPr>
        <w:tabs>
          <w:tab w:val="left" w:pos="657"/>
        </w:tabs>
        <w:spacing w:line="380" w:lineRule="exact"/>
        <w:rPr>
          <w:rFonts w:ascii="黑体" w:eastAsia="黑体"/>
          <w:szCs w:val="21"/>
        </w:rPr>
      </w:pPr>
    </w:p>
    <w:p w14:paraId="3B7A92E8" w14:textId="77777777" w:rsidR="00765931" w:rsidRDefault="000D50A6">
      <w:pPr>
        <w:tabs>
          <w:tab w:val="left" w:pos="657"/>
        </w:tabs>
        <w:spacing w:line="380" w:lineRule="exact"/>
        <w:rPr>
          <w:rFonts w:ascii="宋体" w:hAnsi="宋体"/>
        </w:rPr>
      </w:pPr>
      <w:r>
        <w:rPr>
          <w:rFonts w:ascii="黑体" w:eastAsia="黑体" w:hint="eastAsia"/>
          <w:szCs w:val="21"/>
        </w:rPr>
        <w:t xml:space="preserve">2  </w:t>
      </w:r>
      <w:r>
        <w:rPr>
          <w:rFonts w:ascii="黑体" w:eastAsia="黑体" w:hint="eastAsia"/>
          <w:szCs w:val="21"/>
        </w:rPr>
        <w:t>技术经济论证，预期的经济效益、社会效益和生态效益</w:t>
      </w:r>
    </w:p>
    <w:p w14:paraId="2F350160" w14:textId="77777777" w:rsidR="00765931" w:rsidRDefault="000D50A6">
      <w:pPr>
        <w:tabs>
          <w:tab w:val="left" w:pos="657"/>
        </w:tabs>
        <w:spacing w:line="380" w:lineRule="exact"/>
        <w:ind w:firstLineChars="200" w:firstLine="420"/>
        <w:rPr>
          <w:rFonts w:ascii="Calibri" w:eastAsiaTheme="minorEastAsia" w:hAnsi="Calibri"/>
          <w:szCs w:val="21"/>
        </w:rPr>
      </w:pPr>
      <w:r>
        <w:rPr>
          <w:rFonts w:ascii="Calibri" w:eastAsiaTheme="minorEastAsia" w:hAnsi="Calibri"/>
          <w:szCs w:val="21"/>
        </w:rPr>
        <w:t>本标准的制定实施，将形成多维度的正向价值闭环。在安全保障层面，</w:t>
      </w:r>
      <w:r>
        <w:rPr>
          <w:rFonts w:ascii="Calibri" w:eastAsiaTheme="minorEastAsia" w:hAnsi="Calibri" w:hint="eastAsia"/>
          <w:szCs w:val="21"/>
        </w:rPr>
        <w:t>再次</w:t>
      </w:r>
      <w:r>
        <w:rPr>
          <w:rFonts w:ascii="Calibri" w:eastAsiaTheme="minorEastAsia" w:hAnsi="Calibri"/>
          <w:szCs w:val="21"/>
        </w:rPr>
        <w:t>针对消费级照相用电子闪光灯的脉冲光辐射特性建立专属安全判定规则，填补通用光辐射安全标准在细分产品领域的适配空白，明确普通消费者日常使用场景下的光生物安全阈值，从源头降低不当使用或产品设计缺陷带来的眼部光损伤风险，切实保障广大摄影爱好者、普通用户的用眼健康。</w:t>
      </w:r>
      <w:r>
        <w:rPr>
          <w:rFonts w:ascii="Calibri" w:eastAsiaTheme="minorEastAsia" w:hAnsi="Calibri"/>
          <w:szCs w:val="21"/>
        </w:rPr>
        <w:t xml:space="preserve"> </w:t>
      </w:r>
      <w:r>
        <w:rPr>
          <w:rFonts w:ascii="Calibri" w:eastAsiaTheme="minorEastAsia" w:hAnsi="Calibri"/>
          <w:szCs w:val="21"/>
        </w:rPr>
        <w:t>在产业发展层面，标准将统一全行业的合</w:t>
      </w:r>
      <w:proofErr w:type="gramStart"/>
      <w:r>
        <w:rPr>
          <w:rFonts w:ascii="Calibri" w:eastAsiaTheme="minorEastAsia" w:hAnsi="Calibri"/>
          <w:szCs w:val="21"/>
        </w:rPr>
        <w:t>规</w:t>
      </w:r>
      <w:proofErr w:type="gramEnd"/>
      <w:r>
        <w:rPr>
          <w:rFonts w:ascii="Calibri" w:eastAsiaTheme="minorEastAsia" w:hAnsi="Calibri"/>
          <w:szCs w:val="21"/>
        </w:rPr>
        <w:t>判定口径，解决当前企业面对通用强制标准时的执行困惑，避免不同主体对同一款产品的安全判定出现差异化结论，大幅降低企业的合规验证成本与市场准入不确定性，为国内闪光灯制造企业营造公平透明的竞争环境，助力国产摄影器材品牌在合</w:t>
      </w:r>
      <w:r>
        <w:rPr>
          <w:rFonts w:ascii="Calibri" w:eastAsiaTheme="minorEastAsia" w:hAnsi="Calibri"/>
          <w:szCs w:val="21"/>
        </w:rPr>
        <w:t>规框架下开展技术创新，稳固国内市场优势的同时提升国际市场竞争力。</w:t>
      </w:r>
      <w:r>
        <w:rPr>
          <w:rFonts w:ascii="Calibri" w:eastAsiaTheme="minorEastAsia" w:hAnsi="Calibri"/>
          <w:szCs w:val="21"/>
        </w:rPr>
        <w:t xml:space="preserve"> </w:t>
      </w:r>
      <w:r>
        <w:rPr>
          <w:rFonts w:ascii="Calibri" w:eastAsiaTheme="minorEastAsia" w:hAnsi="Calibri"/>
          <w:szCs w:val="21"/>
        </w:rPr>
        <w:t>在行业治理层面，标准将为市场监管部门提供可直接落地的细分领域执法依据，减少监管过程中的争议点，提升光辐射安全领域的精细</w:t>
      </w:r>
      <w:proofErr w:type="gramStart"/>
      <w:r>
        <w:rPr>
          <w:rFonts w:ascii="Calibri" w:eastAsiaTheme="minorEastAsia" w:hAnsi="Calibri"/>
          <w:szCs w:val="21"/>
        </w:rPr>
        <w:t>化治理</w:t>
      </w:r>
      <w:proofErr w:type="gramEnd"/>
      <w:r>
        <w:rPr>
          <w:rFonts w:ascii="Calibri" w:eastAsiaTheme="minorEastAsia" w:hAnsi="Calibri"/>
          <w:szCs w:val="21"/>
        </w:rPr>
        <w:t>水平，推动整个摄影器材行业向安全化、规范化方向升级，助力消费电子领域的光辐射安全治理体系进一步完善。</w:t>
      </w:r>
    </w:p>
    <w:p w14:paraId="5F3A7CF3" w14:textId="77777777" w:rsidR="00765931" w:rsidRDefault="000D50A6">
      <w:pPr>
        <w:tabs>
          <w:tab w:val="left" w:pos="657"/>
        </w:tabs>
        <w:spacing w:line="380" w:lineRule="exact"/>
        <w:rPr>
          <w:rFonts w:ascii="黑体" w:eastAsia="黑体"/>
          <w:szCs w:val="21"/>
        </w:rPr>
      </w:pPr>
      <w:r>
        <w:rPr>
          <w:rFonts w:ascii="黑体" w:eastAsia="黑体" w:hint="eastAsia"/>
          <w:szCs w:val="21"/>
        </w:rPr>
        <w:t>四、与国际、国外同类标准技术内容对比情况或与测试的国外样品、样机的有关数据对比情况</w:t>
      </w:r>
    </w:p>
    <w:p w14:paraId="4F488C7C" w14:textId="77777777" w:rsidR="00765931" w:rsidRDefault="000D50A6">
      <w:pPr>
        <w:tabs>
          <w:tab w:val="left" w:pos="657"/>
        </w:tabs>
        <w:spacing w:line="380" w:lineRule="exact"/>
        <w:ind w:firstLineChars="200" w:firstLine="420"/>
        <w:rPr>
          <w:rFonts w:ascii="Calibri" w:eastAsiaTheme="minorEastAsia" w:hAnsi="Calibri"/>
          <w:szCs w:val="21"/>
        </w:rPr>
      </w:pPr>
      <w:r>
        <w:rPr>
          <w:rFonts w:ascii="Calibri" w:eastAsiaTheme="minorEastAsia" w:hAnsi="Calibri"/>
          <w:szCs w:val="21"/>
        </w:rPr>
        <w:t>强制性国家标准</w:t>
      </w:r>
      <w:r>
        <w:rPr>
          <w:rFonts w:ascii="Calibri" w:eastAsiaTheme="minorEastAsia" w:hAnsi="Calibri"/>
          <w:szCs w:val="21"/>
        </w:rPr>
        <w:t>‌</w:t>
      </w:r>
      <w:r>
        <w:rPr>
          <w:rFonts w:ascii="Calibri" w:eastAsiaTheme="minorEastAsia" w:hAnsi="Calibri"/>
          <w:szCs w:val="21"/>
        </w:rPr>
        <w:t>：</w:t>
      </w:r>
      <w:r>
        <w:rPr>
          <w:rFonts w:ascii="Calibri" w:eastAsiaTheme="minorEastAsia" w:hAnsi="Calibri"/>
          <w:szCs w:val="21"/>
        </w:rPr>
        <w:t xml:space="preserve">‌GB 44703-2024 </w:t>
      </w:r>
      <w:r>
        <w:rPr>
          <w:rFonts w:ascii="Calibri" w:eastAsiaTheme="minorEastAsia" w:hAnsi="Calibri"/>
          <w:szCs w:val="21"/>
        </w:rPr>
        <w:t>《光辐射安全通用要求》</w:t>
      </w:r>
      <w:r>
        <w:rPr>
          <w:rFonts w:ascii="Calibri" w:eastAsiaTheme="minorEastAsia" w:hAnsi="Calibri"/>
          <w:szCs w:val="21"/>
        </w:rPr>
        <w:t xml:space="preserve">‌ </w:t>
      </w:r>
      <w:r>
        <w:rPr>
          <w:rFonts w:ascii="Calibri" w:eastAsiaTheme="minorEastAsia" w:hAnsi="Calibri"/>
          <w:szCs w:val="21"/>
        </w:rPr>
        <w:t>是本标准制定的上位</w:t>
      </w:r>
      <w:r w:rsidRPr="000F5B48">
        <w:rPr>
          <w:rFonts w:ascii="Calibri" w:eastAsiaTheme="minorEastAsia" w:hAnsi="Calibri"/>
          <w:color w:val="000000" w:themeColor="text1"/>
          <w:szCs w:val="21"/>
        </w:rPr>
        <w:t>法</w:t>
      </w:r>
      <w:r>
        <w:rPr>
          <w:rFonts w:ascii="Calibri" w:eastAsiaTheme="minorEastAsia" w:hAnsi="Calibri"/>
          <w:szCs w:val="21"/>
        </w:rPr>
        <w:t>和核心安全依据。本标准是对其针对特定产品（</w:t>
      </w:r>
      <w:r>
        <w:rPr>
          <w:rFonts w:ascii="Calibri" w:eastAsiaTheme="minorEastAsia" w:hAnsi="Calibri"/>
          <w:szCs w:val="21"/>
        </w:rPr>
        <w:t>照相用电子闪光灯）的具体实施和细化。</w:t>
      </w:r>
    </w:p>
    <w:p w14:paraId="6F4B8B51" w14:textId="77777777" w:rsidR="00765931" w:rsidRDefault="000D50A6">
      <w:pPr>
        <w:tabs>
          <w:tab w:val="left" w:pos="657"/>
        </w:tabs>
        <w:spacing w:line="380" w:lineRule="exact"/>
        <w:ind w:firstLineChars="200" w:firstLine="420"/>
        <w:rPr>
          <w:rFonts w:ascii="Calibri" w:eastAsiaTheme="minorEastAsia" w:hAnsi="Calibri"/>
          <w:szCs w:val="21"/>
        </w:rPr>
      </w:pPr>
      <w:r>
        <w:rPr>
          <w:rFonts w:ascii="Calibri" w:eastAsiaTheme="minorEastAsia" w:hAnsi="Calibri"/>
          <w:szCs w:val="21"/>
        </w:rPr>
        <w:t>‌</w:t>
      </w:r>
      <w:r>
        <w:rPr>
          <w:rFonts w:ascii="Calibri" w:eastAsiaTheme="minorEastAsia" w:hAnsi="Calibri"/>
          <w:szCs w:val="21"/>
        </w:rPr>
        <w:t>推荐性国家标准</w:t>
      </w:r>
      <w:r>
        <w:rPr>
          <w:rFonts w:ascii="Calibri" w:eastAsiaTheme="minorEastAsia" w:hAnsi="Calibri"/>
          <w:szCs w:val="21"/>
        </w:rPr>
        <w:t>‌</w:t>
      </w:r>
      <w:r>
        <w:rPr>
          <w:rFonts w:ascii="Calibri" w:eastAsiaTheme="minorEastAsia" w:hAnsi="Calibri"/>
          <w:szCs w:val="21"/>
        </w:rPr>
        <w:t>：</w:t>
      </w:r>
      <w:r>
        <w:rPr>
          <w:rFonts w:ascii="Calibri" w:eastAsiaTheme="minorEastAsia" w:hAnsi="Calibri"/>
          <w:szCs w:val="21"/>
        </w:rPr>
        <w:t xml:space="preserve">‌GB/T 30117.1-2024 </w:t>
      </w:r>
      <w:r>
        <w:rPr>
          <w:rFonts w:ascii="Calibri" w:eastAsiaTheme="minorEastAsia" w:hAnsi="Calibri"/>
          <w:szCs w:val="21"/>
        </w:rPr>
        <w:t>《非相干光产品的光生物安全</w:t>
      </w:r>
      <w:r>
        <w:rPr>
          <w:rFonts w:ascii="Calibri" w:eastAsiaTheme="minorEastAsia" w:hAnsi="Calibri"/>
          <w:szCs w:val="21"/>
        </w:rPr>
        <w:t xml:space="preserve"> </w:t>
      </w:r>
      <w:r>
        <w:rPr>
          <w:rFonts w:ascii="Calibri" w:eastAsiaTheme="minorEastAsia" w:hAnsi="Calibri"/>
          <w:szCs w:val="21"/>
        </w:rPr>
        <w:t>第</w:t>
      </w:r>
      <w:r>
        <w:rPr>
          <w:rFonts w:ascii="Calibri" w:eastAsiaTheme="minorEastAsia" w:hAnsi="Calibri"/>
          <w:szCs w:val="21"/>
        </w:rPr>
        <w:t>1</w:t>
      </w:r>
      <w:r>
        <w:rPr>
          <w:rFonts w:ascii="Calibri" w:eastAsiaTheme="minorEastAsia" w:hAnsi="Calibri"/>
          <w:szCs w:val="21"/>
        </w:rPr>
        <w:t>部分：通用要求》</w:t>
      </w:r>
      <w:r>
        <w:rPr>
          <w:rFonts w:ascii="Calibri" w:eastAsiaTheme="minorEastAsia" w:hAnsi="Calibri"/>
          <w:szCs w:val="21"/>
        </w:rPr>
        <w:t xml:space="preserve">‌ </w:t>
      </w:r>
      <w:r>
        <w:rPr>
          <w:rFonts w:ascii="Calibri" w:eastAsiaTheme="minorEastAsia" w:hAnsi="Calibri"/>
          <w:szCs w:val="21"/>
        </w:rPr>
        <w:t>是进行光辐射风险测量与分类的基础方法标准，本标准引用了其关于风险等级分类和脉冲光产品评定的条款。</w:t>
      </w:r>
    </w:p>
    <w:p w14:paraId="244D8876" w14:textId="77777777" w:rsidR="00765931" w:rsidRDefault="000D50A6">
      <w:pPr>
        <w:tabs>
          <w:tab w:val="left" w:pos="657"/>
        </w:tabs>
        <w:spacing w:line="380" w:lineRule="exact"/>
        <w:ind w:firstLineChars="200" w:firstLine="420"/>
        <w:rPr>
          <w:rFonts w:ascii="Calibri" w:eastAsiaTheme="minorEastAsia" w:hAnsi="Calibri"/>
          <w:szCs w:val="21"/>
        </w:rPr>
      </w:pPr>
      <w:r>
        <w:rPr>
          <w:rFonts w:ascii="Calibri" w:eastAsiaTheme="minorEastAsia" w:hAnsi="Calibri"/>
          <w:szCs w:val="21"/>
        </w:rPr>
        <w:t>本标准旨在建立适应中国市场和产品特点的闪光灯安全要求。</w:t>
      </w:r>
    </w:p>
    <w:p w14:paraId="0784944D" w14:textId="77777777" w:rsidR="00765931" w:rsidRDefault="000D50A6">
      <w:pPr>
        <w:tabs>
          <w:tab w:val="left" w:pos="657"/>
        </w:tabs>
        <w:spacing w:line="380" w:lineRule="exact"/>
        <w:ind w:firstLineChars="200" w:firstLine="420"/>
        <w:rPr>
          <w:rFonts w:ascii="黑体" w:eastAsia="黑体"/>
          <w:szCs w:val="21"/>
        </w:rPr>
      </w:pPr>
      <w:r>
        <w:rPr>
          <w:rFonts w:ascii="黑体" w:eastAsia="黑体" w:hint="eastAsia"/>
          <w:szCs w:val="21"/>
        </w:rPr>
        <w:lastRenderedPageBreak/>
        <w:t>五、采标以及引用情况</w:t>
      </w:r>
    </w:p>
    <w:p w14:paraId="76641B85" w14:textId="77777777" w:rsidR="00765931" w:rsidRDefault="000D50A6">
      <w:pPr>
        <w:tabs>
          <w:tab w:val="left" w:pos="657"/>
        </w:tabs>
        <w:spacing w:line="380" w:lineRule="exact"/>
        <w:ind w:firstLineChars="200" w:firstLine="420"/>
        <w:rPr>
          <w:rFonts w:ascii="宋体" w:hAnsi="宋体"/>
          <w:szCs w:val="21"/>
        </w:rPr>
      </w:pPr>
      <w:r>
        <w:rPr>
          <w:rFonts w:ascii="宋体" w:hAnsi="宋体" w:hint="eastAsia"/>
          <w:szCs w:val="21"/>
        </w:rPr>
        <w:t>本标准没有采用及引</w:t>
      </w:r>
      <w:r>
        <w:rPr>
          <w:rFonts w:hint="eastAsia"/>
        </w:rPr>
        <w:t>用国际标准和国外先进标</w:t>
      </w:r>
      <w:r>
        <w:rPr>
          <w:rFonts w:ascii="宋体" w:hAnsi="宋体" w:hint="eastAsia"/>
          <w:szCs w:val="21"/>
        </w:rPr>
        <w:t>准。</w:t>
      </w:r>
    </w:p>
    <w:p w14:paraId="3A752A9A" w14:textId="77777777" w:rsidR="00765931" w:rsidRDefault="000D50A6">
      <w:pPr>
        <w:tabs>
          <w:tab w:val="left" w:pos="657"/>
        </w:tabs>
        <w:spacing w:line="380" w:lineRule="exact"/>
        <w:rPr>
          <w:rFonts w:ascii="黑体" w:eastAsia="黑体"/>
          <w:szCs w:val="21"/>
        </w:rPr>
      </w:pPr>
      <w:r>
        <w:rPr>
          <w:rFonts w:ascii="黑体" w:eastAsia="黑体" w:hint="eastAsia"/>
          <w:szCs w:val="21"/>
        </w:rPr>
        <w:t>六、与有关法律、行政法规及相关标准的关系</w:t>
      </w:r>
    </w:p>
    <w:p w14:paraId="1EEFAA3D" w14:textId="77777777" w:rsidR="00765931" w:rsidRDefault="000D50A6">
      <w:pPr>
        <w:tabs>
          <w:tab w:val="left" w:pos="657"/>
        </w:tabs>
        <w:spacing w:line="380" w:lineRule="exact"/>
        <w:ind w:firstLineChars="200" w:firstLine="420"/>
        <w:rPr>
          <w:rFonts w:ascii="黑体" w:eastAsia="黑体"/>
          <w:szCs w:val="21"/>
        </w:rPr>
      </w:pPr>
      <w:r>
        <w:rPr>
          <w:rFonts w:ascii="宋体" w:hAnsi="宋体" w:hint="eastAsia"/>
        </w:rPr>
        <w:t>本标准与现行有关法律、法规、规章及相关标准协调一致。</w:t>
      </w:r>
    </w:p>
    <w:p w14:paraId="2AA8770B" w14:textId="77777777" w:rsidR="00765931" w:rsidRDefault="000D50A6">
      <w:pPr>
        <w:tabs>
          <w:tab w:val="left" w:pos="1446"/>
        </w:tabs>
        <w:spacing w:line="380" w:lineRule="exact"/>
        <w:rPr>
          <w:rFonts w:ascii="黑体" w:eastAsia="黑体"/>
          <w:szCs w:val="21"/>
        </w:rPr>
      </w:pPr>
      <w:r>
        <w:rPr>
          <w:rFonts w:ascii="黑体" w:eastAsia="黑体" w:hint="eastAsia"/>
          <w:szCs w:val="21"/>
        </w:rPr>
        <w:t>七、重大分歧意见的处理经过和依据</w:t>
      </w:r>
    </w:p>
    <w:p w14:paraId="3F42B266" w14:textId="77777777" w:rsidR="00765931" w:rsidRDefault="000D50A6">
      <w:pPr>
        <w:tabs>
          <w:tab w:val="left" w:pos="1446"/>
        </w:tabs>
        <w:spacing w:line="380" w:lineRule="exact"/>
        <w:rPr>
          <w:rFonts w:ascii="宋体" w:hAnsi="宋体"/>
          <w:szCs w:val="21"/>
        </w:rPr>
      </w:pPr>
      <w:r>
        <w:rPr>
          <w:rFonts w:ascii="黑体" w:eastAsia="黑体" w:hint="eastAsia"/>
          <w:szCs w:val="21"/>
        </w:rPr>
        <w:t xml:space="preserve"> </w:t>
      </w:r>
      <w:r>
        <w:rPr>
          <w:rFonts w:ascii="黑体" w:eastAsia="黑体"/>
          <w:szCs w:val="21"/>
        </w:rPr>
        <w:t xml:space="preserve">   </w:t>
      </w:r>
      <w:r>
        <w:rPr>
          <w:rFonts w:ascii="宋体" w:hAnsi="宋体" w:hint="eastAsia"/>
          <w:szCs w:val="21"/>
        </w:rPr>
        <w:t>无。</w:t>
      </w:r>
    </w:p>
    <w:p w14:paraId="4F68ECAD" w14:textId="77777777" w:rsidR="00765931" w:rsidRDefault="000D50A6">
      <w:pPr>
        <w:tabs>
          <w:tab w:val="left" w:pos="1446"/>
        </w:tabs>
        <w:spacing w:line="380" w:lineRule="exact"/>
        <w:rPr>
          <w:rFonts w:ascii="黑体" w:eastAsia="黑体"/>
          <w:szCs w:val="21"/>
        </w:rPr>
      </w:pPr>
      <w:r>
        <w:rPr>
          <w:rFonts w:ascii="黑体" w:eastAsia="黑体" w:hint="eastAsia"/>
          <w:szCs w:val="21"/>
        </w:rPr>
        <w:t>八、涉及专利的说明</w:t>
      </w:r>
    </w:p>
    <w:p w14:paraId="254F64DA" w14:textId="77777777" w:rsidR="00765931" w:rsidRDefault="000D50A6">
      <w:pPr>
        <w:tabs>
          <w:tab w:val="left" w:pos="1446"/>
        </w:tabs>
        <w:spacing w:line="380" w:lineRule="exact"/>
        <w:ind w:firstLineChars="200" w:firstLine="420"/>
        <w:rPr>
          <w:rFonts w:ascii="宋体" w:hAnsi="宋体"/>
          <w:szCs w:val="21"/>
        </w:rPr>
      </w:pPr>
      <w:r>
        <w:rPr>
          <w:rFonts w:ascii="宋体" w:hAnsi="宋体" w:hint="eastAsia"/>
          <w:szCs w:val="21"/>
        </w:rPr>
        <w:t>本标准不涉及专利问题。</w:t>
      </w:r>
    </w:p>
    <w:p w14:paraId="629074BE" w14:textId="77777777" w:rsidR="00765931" w:rsidRDefault="000D50A6">
      <w:pPr>
        <w:tabs>
          <w:tab w:val="left" w:pos="1446"/>
        </w:tabs>
        <w:spacing w:line="380" w:lineRule="exact"/>
        <w:rPr>
          <w:rFonts w:ascii="黑体" w:eastAsia="黑体"/>
          <w:szCs w:val="21"/>
        </w:rPr>
      </w:pPr>
      <w:r>
        <w:rPr>
          <w:rFonts w:ascii="黑体" w:eastAsia="黑体" w:hint="eastAsia"/>
          <w:szCs w:val="21"/>
        </w:rPr>
        <w:t>九、实施国家标准的要求以及组织、技术措施、过渡期和实施日期的建议等措施建议</w:t>
      </w:r>
    </w:p>
    <w:p w14:paraId="69897803" w14:textId="77777777" w:rsidR="00765931" w:rsidRDefault="000D50A6">
      <w:pPr>
        <w:tabs>
          <w:tab w:val="left" w:pos="1446"/>
        </w:tabs>
        <w:spacing w:line="380" w:lineRule="exact"/>
        <w:ind w:firstLineChars="200" w:firstLine="420"/>
        <w:rPr>
          <w:rFonts w:ascii="宋体" w:hAnsi="宋体"/>
          <w:szCs w:val="21"/>
        </w:rPr>
      </w:pPr>
      <w:r>
        <w:rPr>
          <w:rFonts w:ascii="宋体" w:hAnsi="宋体" w:hint="eastAsia"/>
          <w:szCs w:val="21"/>
        </w:rPr>
        <w:t>建议对标准的相关方有针对性的进行培训。</w:t>
      </w:r>
    </w:p>
    <w:p w14:paraId="71553177" w14:textId="77777777" w:rsidR="00765931" w:rsidRDefault="000D50A6">
      <w:pPr>
        <w:tabs>
          <w:tab w:val="left" w:pos="1446"/>
        </w:tabs>
        <w:spacing w:line="380" w:lineRule="exact"/>
        <w:rPr>
          <w:rFonts w:ascii="黑体" w:eastAsia="黑体"/>
          <w:szCs w:val="21"/>
        </w:rPr>
      </w:pPr>
      <w:r>
        <w:rPr>
          <w:rFonts w:ascii="黑体" w:eastAsia="黑体" w:hint="eastAsia"/>
          <w:szCs w:val="21"/>
        </w:rPr>
        <w:t>十、其他应当说明的事项</w:t>
      </w:r>
    </w:p>
    <w:p w14:paraId="3FDAD098" w14:textId="77777777" w:rsidR="00765931" w:rsidRDefault="000D50A6">
      <w:pPr>
        <w:tabs>
          <w:tab w:val="left" w:pos="1446"/>
        </w:tabs>
        <w:spacing w:line="380" w:lineRule="exact"/>
        <w:rPr>
          <w:rFonts w:ascii="宋体" w:hAnsi="宋体"/>
          <w:szCs w:val="21"/>
        </w:rPr>
      </w:pPr>
      <w:r>
        <w:rPr>
          <w:rFonts w:ascii="黑体" w:eastAsia="黑体" w:hint="eastAsia"/>
          <w:szCs w:val="21"/>
        </w:rPr>
        <w:t xml:space="preserve"> </w:t>
      </w:r>
      <w:r>
        <w:rPr>
          <w:rFonts w:ascii="黑体" w:eastAsia="黑体"/>
          <w:szCs w:val="21"/>
        </w:rPr>
        <w:t xml:space="preserve">  </w:t>
      </w:r>
      <w:r>
        <w:rPr>
          <w:rFonts w:ascii="宋体" w:hAnsi="宋体"/>
          <w:szCs w:val="21"/>
        </w:rPr>
        <w:t xml:space="preserve"> </w:t>
      </w:r>
      <w:r>
        <w:rPr>
          <w:rFonts w:ascii="宋体" w:hAnsi="宋体" w:hint="eastAsia"/>
          <w:szCs w:val="21"/>
        </w:rPr>
        <w:t>无</w:t>
      </w:r>
    </w:p>
    <w:p w14:paraId="09AC6EB7" w14:textId="77777777" w:rsidR="00765931" w:rsidRDefault="00765931">
      <w:pPr>
        <w:spacing w:line="380" w:lineRule="exact"/>
        <w:rPr>
          <w:rFonts w:ascii="黑体" w:eastAsia="黑体"/>
          <w:bCs/>
          <w:sz w:val="32"/>
        </w:rPr>
      </w:pPr>
    </w:p>
    <w:p w14:paraId="25B9FA3B" w14:textId="77777777" w:rsidR="00765931" w:rsidRDefault="00765931">
      <w:pPr>
        <w:pStyle w:val="a7"/>
        <w:tabs>
          <w:tab w:val="left" w:pos="720"/>
        </w:tabs>
        <w:spacing w:line="380" w:lineRule="exact"/>
        <w:ind w:firstLineChars="0" w:firstLine="0"/>
        <w:rPr>
          <w:rFonts w:ascii="宋体" w:hAnsi="宋体"/>
          <w:sz w:val="18"/>
          <w:szCs w:val="18"/>
        </w:rPr>
      </w:pPr>
    </w:p>
    <w:sectPr w:rsidR="00765931">
      <w:headerReference w:type="default" r:id="rId7"/>
      <w:pgSz w:w="11906" w:h="16838"/>
      <w:pgMar w:top="794" w:right="1417" w:bottom="794" w:left="1417" w:header="454" w:footer="283"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0BEE3" w14:textId="77777777" w:rsidR="000D50A6" w:rsidRDefault="000D50A6">
      <w:r>
        <w:separator/>
      </w:r>
    </w:p>
  </w:endnote>
  <w:endnote w:type="continuationSeparator" w:id="0">
    <w:p w14:paraId="29130E57" w14:textId="77777777" w:rsidR="000D50A6" w:rsidRDefault="000D5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46F37" w14:textId="77777777" w:rsidR="000D50A6" w:rsidRDefault="000D50A6">
      <w:r>
        <w:separator/>
      </w:r>
    </w:p>
  </w:footnote>
  <w:footnote w:type="continuationSeparator" w:id="0">
    <w:p w14:paraId="61C8A38E" w14:textId="77777777" w:rsidR="000D50A6" w:rsidRDefault="000D50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84267" w14:textId="77777777" w:rsidR="00765931" w:rsidRDefault="00765931">
    <w:pPr>
      <w:pStyle w:val="ab"/>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EA2025"/>
    <w:multiLevelType w:val="multilevel"/>
    <w:tmpl w:val="6CEA2025"/>
    <w:lvl w:ilvl="0">
      <w:start w:val="1"/>
      <w:numFmt w:val="none"/>
      <w:suff w:val="nothing"/>
      <w:lvlText w:val="%1"/>
      <w:lvlJc w:val="left"/>
      <w:pPr>
        <w:ind w:left="0" w:firstLine="0"/>
      </w:pPr>
      <w:rPr>
        <w:rFonts w:hint="eastAsia"/>
      </w:rPr>
    </w:lvl>
    <w:lvl w:ilvl="1">
      <w:start w:val="1"/>
      <w:numFmt w:val="decimal"/>
      <w:pStyle w:val="a"/>
      <w:suff w:val="nothing"/>
      <w:lvlText w:val="%1%2　"/>
      <w:lvlJc w:val="left"/>
      <w:pPr>
        <w:ind w:left="0" w:firstLine="0"/>
      </w:pPr>
      <w:rPr>
        <w:rFonts w:ascii="黑体" w:eastAsia="黑体" w:hint="eastAsia"/>
        <w:b w:val="0"/>
        <w:i w:val="0"/>
        <w:sz w:val="21"/>
      </w:rPr>
    </w:lvl>
    <w:lvl w:ilvl="2">
      <w:start w:val="1"/>
      <w:numFmt w:val="decimal"/>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rPr>
    </w:lvl>
    <w:lvl w:ilvl="3">
      <w:start w:val="1"/>
      <w:numFmt w:val="decimal"/>
      <w:suff w:val="nothing"/>
      <w:lvlText w:val="%1%2.%3.%4　"/>
      <w:lvlJc w:val="left"/>
      <w:pPr>
        <w:ind w:left="0" w:firstLine="0"/>
      </w:pPr>
      <w:rPr>
        <w:rFonts w:ascii="黑体" w:eastAsia="黑体" w:hint="eastAsia"/>
        <w:b w:val="0"/>
        <w:i w:val="0"/>
        <w:sz w:val="21"/>
      </w:rPr>
    </w:lvl>
    <w:lvl w:ilvl="4">
      <w:start w:val="1"/>
      <w:numFmt w:val="decimal"/>
      <w:suff w:val="nothing"/>
      <w:lvlText w:val="%1%2.%3.%4.%5　"/>
      <w:lvlJc w:val="left"/>
      <w:pPr>
        <w:ind w:left="0" w:firstLine="0"/>
      </w:pPr>
      <w:rPr>
        <w:rFonts w:ascii="黑体" w:eastAsia="黑体" w:hint="eastAsia"/>
        <w:b w:val="0"/>
        <w:i w:val="0"/>
        <w:sz w:val="21"/>
      </w:rPr>
    </w:lvl>
    <w:lvl w:ilvl="5">
      <w:start w:val="1"/>
      <w:numFmt w:val="decimal"/>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zBkNzU1OTMyZGNiNmFmYjk5NWQxYTU2Zjg0ZTUyNDAifQ=="/>
  </w:docVars>
  <w:rsids>
    <w:rsidRoot w:val="00172A27"/>
    <w:rsid w:val="00002C6F"/>
    <w:rsid w:val="00007794"/>
    <w:rsid w:val="00021F5C"/>
    <w:rsid w:val="00033942"/>
    <w:rsid w:val="00054016"/>
    <w:rsid w:val="0006520B"/>
    <w:rsid w:val="00080B28"/>
    <w:rsid w:val="00080E5C"/>
    <w:rsid w:val="00081043"/>
    <w:rsid w:val="00093DCC"/>
    <w:rsid w:val="000A47AE"/>
    <w:rsid w:val="000B28DC"/>
    <w:rsid w:val="000D226E"/>
    <w:rsid w:val="000D50A6"/>
    <w:rsid w:val="000F5B48"/>
    <w:rsid w:val="00100BCF"/>
    <w:rsid w:val="0012700E"/>
    <w:rsid w:val="0013701B"/>
    <w:rsid w:val="00137A58"/>
    <w:rsid w:val="0015315D"/>
    <w:rsid w:val="00172A27"/>
    <w:rsid w:val="001869F5"/>
    <w:rsid w:val="001970C3"/>
    <w:rsid w:val="001B0918"/>
    <w:rsid w:val="001D6E2E"/>
    <w:rsid w:val="001E4DBF"/>
    <w:rsid w:val="001F0F14"/>
    <w:rsid w:val="00203E82"/>
    <w:rsid w:val="00205EA7"/>
    <w:rsid w:val="00206468"/>
    <w:rsid w:val="00215C88"/>
    <w:rsid w:val="00222253"/>
    <w:rsid w:val="002547D2"/>
    <w:rsid w:val="0025492F"/>
    <w:rsid w:val="00262C30"/>
    <w:rsid w:val="002748B0"/>
    <w:rsid w:val="00284DE7"/>
    <w:rsid w:val="002A2CD0"/>
    <w:rsid w:val="002B3D7E"/>
    <w:rsid w:val="002C2F26"/>
    <w:rsid w:val="002F4491"/>
    <w:rsid w:val="00316959"/>
    <w:rsid w:val="00321F7D"/>
    <w:rsid w:val="00323DD9"/>
    <w:rsid w:val="00355EBC"/>
    <w:rsid w:val="003749E2"/>
    <w:rsid w:val="00380D69"/>
    <w:rsid w:val="003A130D"/>
    <w:rsid w:val="003A40BC"/>
    <w:rsid w:val="003C0D4C"/>
    <w:rsid w:val="003C17D1"/>
    <w:rsid w:val="003E2B64"/>
    <w:rsid w:val="003E7311"/>
    <w:rsid w:val="00402917"/>
    <w:rsid w:val="00404831"/>
    <w:rsid w:val="00434C1C"/>
    <w:rsid w:val="004518C1"/>
    <w:rsid w:val="0045545E"/>
    <w:rsid w:val="004573F7"/>
    <w:rsid w:val="004843EC"/>
    <w:rsid w:val="00490767"/>
    <w:rsid w:val="00493BC6"/>
    <w:rsid w:val="004941C2"/>
    <w:rsid w:val="004B17A9"/>
    <w:rsid w:val="004B1E72"/>
    <w:rsid w:val="004B793B"/>
    <w:rsid w:val="004C4297"/>
    <w:rsid w:val="004C51BD"/>
    <w:rsid w:val="004C5208"/>
    <w:rsid w:val="004D4526"/>
    <w:rsid w:val="004E0A86"/>
    <w:rsid w:val="00504BAA"/>
    <w:rsid w:val="00517736"/>
    <w:rsid w:val="00551B92"/>
    <w:rsid w:val="005726EB"/>
    <w:rsid w:val="00572A48"/>
    <w:rsid w:val="00581000"/>
    <w:rsid w:val="00583446"/>
    <w:rsid w:val="00584663"/>
    <w:rsid w:val="00595A00"/>
    <w:rsid w:val="005A1341"/>
    <w:rsid w:val="005A6243"/>
    <w:rsid w:val="005B0354"/>
    <w:rsid w:val="005C4508"/>
    <w:rsid w:val="005C6A5A"/>
    <w:rsid w:val="005D2BF7"/>
    <w:rsid w:val="0061218D"/>
    <w:rsid w:val="0061310B"/>
    <w:rsid w:val="00617AE0"/>
    <w:rsid w:val="00641476"/>
    <w:rsid w:val="00643456"/>
    <w:rsid w:val="00647F78"/>
    <w:rsid w:val="00652207"/>
    <w:rsid w:val="006533C8"/>
    <w:rsid w:val="0065604D"/>
    <w:rsid w:val="0066468C"/>
    <w:rsid w:val="00664715"/>
    <w:rsid w:val="006835F7"/>
    <w:rsid w:val="006911F9"/>
    <w:rsid w:val="00692362"/>
    <w:rsid w:val="006A63A6"/>
    <w:rsid w:val="006C067F"/>
    <w:rsid w:val="006E6A3A"/>
    <w:rsid w:val="006F44D4"/>
    <w:rsid w:val="00702E0A"/>
    <w:rsid w:val="007176A1"/>
    <w:rsid w:val="00722975"/>
    <w:rsid w:val="0072466A"/>
    <w:rsid w:val="00732E3C"/>
    <w:rsid w:val="0074020E"/>
    <w:rsid w:val="00760C74"/>
    <w:rsid w:val="00763B58"/>
    <w:rsid w:val="00765931"/>
    <w:rsid w:val="0076623C"/>
    <w:rsid w:val="00766610"/>
    <w:rsid w:val="0077709A"/>
    <w:rsid w:val="00785950"/>
    <w:rsid w:val="00797E2B"/>
    <w:rsid w:val="007A1996"/>
    <w:rsid w:val="007B0519"/>
    <w:rsid w:val="007B1938"/>
    <w:rsid w:val="007B2947"/>
    <w:rsid w:val="007D58A4"/>
    <w:rsid w:val="007E2365"/>
    <w:rsid w:val="007E7592"/>
    <w:rsid w:val="0080050F"/>
    <w:rsid w:val="00816C16"/>
    <w:rsid w:val="0084103A"/>
    <w:rsid w:val="00890D85"/>
    <w:rsid w:val="00896613"/>
    <w:rsid w:val="008C5739"/>
    <w:rsid w:val="008C5D3E"/>
    <w:rsid w:val="008D370B"/>
    <w:rsid w:val="008F071E"/>
    <w:rsid w:val="008F4556"/>
    <w:rsid w:val="009015BE"/>
    <w:rsid w:val="00906279"/>
    <w:rsid w:val="0091324C"/>
    <w:rsid w:val="00924E1B"/>
    <w:rsid w:val="0093129A"/>
    <w:rsid w:val="00942B68"/>
    <w:rsid w:val="00966A23"/>
    <w:rsid w:val="00994DF6"/>
    <w:rsid w:val="00995A19"/>
    <w:rsid w:val="009B0B2C"/>
    <w:rsid w:val="009B22F1"/>
    <w:rsid w:val="009B42C8"/>
    <w:rsid w:val="009E1F9E"/>
    <w:rsid w:val="00A1137A"/>
    <w:rsid w:val="00A179FA"/>
    <w:rsid w:val="00A263B6"/>
    <w:rsid w:val="00A4472D"/>
    <w:rsid w:val="00A60BCE"/>
    <w:rsid w:val="00A82C06"/>
    <w:rsid w:val="00A83869"/>
    <w:rsid w:val="00A871A6"/>
    <w:rsid w:val="00A93EDE"/>
    <w:rsid w:val="00AB7331"/>
    <w:rsid w:val="00AC6097"/>
    <w:rsid w:val="00AE09EE"/>
    <w:rsid w:val="00AE644D"/>
    <w:rsid w:val="00AE7FC0"/>
    <w:rsid w:val="00B114B8"/>
    <w:rsid w:val="00B12D68"/>
    <w:rsid w:val="00B22035"/>
    <w:rsid w:val="00B37285"/>
    <w:rsid w:val="00B444B4"/>
    <w:rsid w:val="00B4595F"/>
    <w:rsid w:val="00B55389"/>
    <w:rsid w:val="00B62142"/>
    <w:rsid w:val="00B649C8"/>
    <w:rsid w:val="00B6586F"/>
    <w:rsid w:val="00B92A7F"/>
    <w:rsid w:val="00B9777C"/>
    <w:rsid w:val="00BA5B93"/>
    <w:rsid w:val="00BB768C"/>
    <w:rsid w:val="00BC4953"/>
    <w:rsid w:val="00BE3530"/>
    <w:rsid w:val="00C000BD"/>
    <w:rsid w:val="00C022FC"/>
    <w:rsid w:val="00C10535"/>
    <w:rsid w:val="00C14611"/>
    <w:rsid w:val="00C15B63"/>
    <w:rsid w:val="00C34993"/>
    <w:rsid w:val="00C47EFA"/>
    <w:rsid w:val="00C554F6"/>
    <w:rsid w:val="00C55648"/>
    <w:rsid w:val="00C71483"/>
    <w:rsid w:val="00C72DA4"/>
    <w:rsid w:val="00C87254"/>
    <w:rsid w:val="00CB5D53"/>
    <w:rsid w:val="00CC02D2"/>
    <w:rsid w:val="00CC2302"/>
    <w:rsid w:val="00CC354B"/>
    <w:rsid w:val="00CE3462"/>
    <w:rsid w:val="00D22EC5"/>
    <w:rsid w:val="00D2338B"/>
    <w:rsid w:val="00D44DCF"/>
    <w:rsid w:val="00D461E9"/>
    <w:rsid w:val="00D46404"/>
    <w:rsid w:val="00D630A6"/>
    <w:rsid w:val="00D81379"/>
    <w:rsid w:val="00D916BD"/>
    <w:rsid w:val="00DA69A7"/>
    <w:rsid w:val="00DB0246"/>
    <w:rsid w:val="00DB0B79"/>
    <w:rsid w:val="00DB3726"/>
    <w:rsid w:val="00DC2F13"/>
    <w:rsid w:val="00DC50C5"/>
    <w:rsid w:val="00DD5402"/>
    <w:rsid w:val="00E37F80"/>
    <w:rsid w:val="00E410D0"/>
    <w:rsid w:val="00E67928"/>
    <w:rsid w:val="00E67DDC"/>
    <w:rsid w:val="00EB59FB"/>
    <w:rsid w:val="00ED6226"/>
    <w:rsid w:val="00ED6736"/>
    <w:rsid w:val="00EE0AB5"/>
    <w:rsid w:val="00EE6570"/>
    <w:rsid w:val="00EE7599"/>
    <w:rsid w:val="00F026EF"/>
    <w:rsid w:val="00F02F01"/>
    <w:rsid w:val="00F11046"/>
    <w:rsid w:val="00F217B2"/>
    <w:rsid w:val="00F23CFA"/>
    <w:rsid w:val="00F25289"/>
    <w:rsid w:val="00F3300F"/>
    <w:rsid w:val="00F55FAD"/>
    <w:rsid w:val="00F66733"/>
    <w:rsid w:val="00F71232"/>
    <w:rsid w:val="00FA2CDA"/>
    <w:rsid w:val="00FA5358"/>
    <w:rsid w:val="00FA63A7"/>
    <w:rsid w:val="00FA7022"/>
    <w:rsid w:val="00FB19DF"/>
    <w:rsid w:val="00FC6573"/>
    <w:rsid w:val="00FE3DE9"/>
    <w:rsid w:val="01FB6A16"/>
    <w:rsid w:val="02B06584"/>
    <w:rsid w:val="03005E79"/>
    <w:rsid w:val="035A307B"/>
    <w:rsid w:val="04AF7B6F"/>
    <w:rsid w:val="056D178C"/>
    <w:rsid w:val="05C8287D"/>
    <w:rsid w:val="062C51A3"/>
    <w:rsid w:val="06CF29AE"/>
    <w:rsid w:val="0849203C"/>
    <w:rsid w:val="0878647D"/>
    <w:rsid w:val="08786EB9"/>
    <w:rsid w:val="08A75169"/>
    <w:rsid w:val="0A422BE3"/>
    <w:rsid w:val="0A7B42F1"/>
    <w:rsid w:val="0BDF05C2"/>
    <w:rsid w:val="0C0F4180"/>
    <w:rsid w:val="0C565658"/>
    <w:rsid w:val="0E9272A0"/>
    <w:rsid w:val="0F1E6CC6"/>
    <w:rsid w:val="0F621C35"/>
    <w:rsid w:val="10B2026E"/>
    <w:rsid w:val="14597D4B"/>
    <w:rsid w:val="146401FE"/>
    <w:rsid w:val="15712BD2"/>
    <w:rsid w:val="173F4F37"/>
    <w:rsid w:val="17844611"/>
    <w:rsid w:val="179E3965"/>
    <w:rsid w:val="18910E95"/>
    <w:rsid w:val="19D90D46"/>
    <w:rsid w:val="1A5D1977"/>
    <w:rsid w:val="1AA06123"/>
    <w:rsid w:val="1BC233E6"/>
    <w:rsid w:val="1BEF4851"/>
    <w:rsid w:val="1C0B6D28"/>
    <w:rsid w:val="1C1147C7"/>
    <w:rsid w:val="1C24274C"/>
    <w:rsid w:val="1C693C18"/>
    <w:rsid w:val="1E512343"/>
    <w:rsid w:val="1EFF03B5"/>
    <w:rsid w:val="1F4153C3"/>
    <w:rsid w:val="201620DA"/>
    <w:rsid w:val="20B708DE"/>
    <w:rsid w:val="229D5007"/>
    <w:rsid w:val="22A93D96"/>
    <w:rsid w:val="22C56587"/>
    <w:rsid w:val="22D57ABE"/>
    <w:rsid w:val="23DA26D8"/>
    <w:rsid w:val="24013373"/>
    <w:rsid w:val="242B6642"/>
    <w:rsid w:val="24644797"/>
    <w:rsid w:val="24CC1BD3"/>
    <w:rsid w:val="25897C3C"/>
    <w:rsid w:val="25BA5ED0"/>
    <w:rsid w:val="269E759F"/>
    <w:rsid w:val="28212236"/>
    <w:rsid w:val="283642DC"/>
    <w:rsid w:val="2B4A1AA4"/>
    <w:rsid w:val="2B6D2530"/>
    <w:rsid w:val="2DBD030B"/>
    <w:rsid w:val="2E0B376C"/>
    <w:rsid w:val="2E5A0250"/>
    <w:rsid w:val="2EF6287D"/>
    <w:rsid w:val="2F48454C"/>
    <w:rsid w:val="2FE06533"/>
    <w:rsid w:val="31061FC9"/>
    <w:rsid w:val="31091081"/>
    <w:rsid w:val="31CD1BD8"/>
    <w:rsid w:val="331652F7"/>
    <w:rsid w:val="34A66EB5"/>
    <w:rsid w:val="34C72FF1"/>
    <w:rsid w:val="34CC737F"/>
    <w:rsid w:val="34F423C9"/>
    <w:rsid w:val="353036AF"/>
    <w:rsid w:val="35D860DC"/>
    <w:rsid w:val="360C6E37"/>
    <w:rsid w:val="36127662"/>
    <w:rsid w:val="36410A09"/>
    <w:rsid w:val="37CF580A"/>
    <w:rsid w:val="382C4A0B"/>
    <w:rsid w:val="383918FD"/>
    <w:rsid w:val="383D66DD"/>
    <w:rsid w:val="387F5B30"/>
    <w:rsid w:val="38AA2514"/>
    <w:rsid w:val="398D772B"/>
    <w:rsid w:val="3BCA3B9A"/>
    <w:rsid w:val="3C3C3643"/>
    <w:rsid w:val="3C8C2BC5"/>
    <w:rsid w:val="3D5D5FB7"/>
    <w:rsid w:val="3F1E4169"/>
    <w:rsid w:val="40EA5463"/>
    <w:rsid w:val="410C6FA9"/>
    <w:rsid w:val="416B66A2"/>
    <w:rsid w:val="41A2189A"/>
    <w:rsid w:val="42D57BB4"/>
    <w:rsid w:val="441A605F"/>
    <w:rsid w:val="461B60BF"/>
    <w:rsid w:val="46401681"/>
    <w:rsid w:val="46B300A5"/>
    <w:rsid w:val="46F46B51"/>
    <w:rsid w:val="47F366F7"/>
    <w:rsid w:val="488A3088"/>
    <w:rsid w:val="48A405ED"/>
    <w:rsid w:val="48BA43A3"/>
    <w:rsid w:val="48BB6BF3"/>
    <w:rsid w:val="49647D7D"/>
    <w:rsid w:val="49BB1E68"/>
    <w:rsid w:val="4A601062"/>
    <w:rsid w:val="4D752558"/>
    <w:rsid w:val="4E0A09B2"/>
    <w:rsid w:val="4F473A81"/>
    <w:rsid w:val="50947199"/>
    <w:rsid w:val="510F1BFD"/>
    <w:rsid w:val="51ED4DB3"/>
    <w:rsid w:val="5283696B"/>
    <w:rsid w:val="52D63FF9"/>
    <w:rsid w:val="52E361B6"/>
    <w:rsid w:val="555E38D2"/>
    <w:rsid w:val="55924520"/>
    <w:rsid w:val="566D64C3"/>
    <w:rsid w:val="58B02553"/>
    <w:rsid w:val="58CD149A"/>
    <w:rsid w:val="58E14F46"/>
    <w:rsid w:val="5954396A"/>
    <w:rsid w:val="598C3104"/>
    <w:rsid w:val="5A22132D"/>
    <w:rsid w:val="5A5D21A0"/>
    <w:rsid w:val="5A7A7400"/>
    <w:rsid w:val="5B5F3DEC"/>
    <w:rsid w:val="5C1E2C0C"/>
    <w:rsid w:val="5C28639D"/>
    <w:rsid w:val="5CD80E4F"/>
    <w:rsid w:val="5D1458EA"/>
    <w:rsid w:val="5D7054D9"/>
    <w:rsid w:val="5D9C58DF"/>
    <w:rsid w:val="602249CB"/>
    <w:rsid w:val="60366BB7"/>
    <w:rsid w:val="604F208F"/>
    <w:rsid w:val="61840F32"/>
    <w:rsid w:val="631A352E"/>
    <w:rsid w:val="63552051"/>
    <w:rsid w:val="63EF27DA"/>
    <w:rsid w:val="64605C8B"/>
    <w:rsid w:val="64757122"/>
    <w:rsid w:val="64806353"/>
    <w:rsid w:val="64834ABD"/>
    <w:rsid w:val="675A65EF"/>
    <w:rsid w:val="67A14064"/>
    <w:rsid w:val="67C7188D"/>
    <w:rsid w:val="684B418A"/>
    <w:rsid w:val="6937496B"/>
    <w:rsid w:val="6AF723A7"/>
    <w:rsid w:val="6B8917A4"/>
    <w:rsid w:val="6BA0659B"/>
    <w:rsid w:val="6C055AA4"/>
    <w:rsid w:val="6D06067F"/>
    <w:rsid w:val="6F0D5CE5"/>
    <w:rsid w:val="705B5186"/>
    <w:rsid w:val="70C25205"/>
    <w:rsid w:val="70CA7B5F"/>
    <w:rsid w:val="70F842F0"/>
    <w:rsid w:val="71D60F68"/>
    <w:rsid w:val="7224270C"/>
    <w:rsid w:val="72945319"/>
    <w:rsid w:val="734939BC"/>
    <w:rsid w:val="7424523C"/>
    <w:rsid w:val="74655813"/>
    <w:rsid w:val="749377BC"/>
    <w:rsid w:val="74DC4AE7"/>
    <w:rsid w:val="74E91DB0"/>
    <w:rsid w:val="74EC24C4"/>
    <w:rsid w:val="75407E9E"/>
    <w:rsid w:val="776E1496"/>
    <w:rsid w:val="7872306D"/>
    <w:rsid w:val="799C7536"/>
    <w:rsid w:val="79CB512B"/>
    <w:rsid w:val="79E23098"/>
    <w:rsid w:val="7A37460C"/>
    <w:rsid w:val="7CBC4040"/>
    <w:rsid w:val="7CC3693C"/>
    <w:rsid w:val="7E4D005F"/>
    <w:rsid w:val="7FD14B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2437ECF-6061-4F79-B449-7DF34A7F0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Body Text" w:qFormat="1"/>
    <w:lsdException w:name="Body Text Indent" w:qFormat="1"/>
    <w:lsdException w:name="Subtitle" w:qFormat="1"/>
    <w:lsdException w:name="Date" w:qFormat="1"/>
    <w:lsdException w:name="Body Text Inden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jc w:val="both"/>
    </w:pPr>
    <w:rPr>
      <w:kern w:val="2"/>
      <w:sz w:val="21"/>
    </w:rPr>
  </w:style>
  <w:style w:type="paragraph" w:styleId="1">
    <w:name w:val="heading 1"/>
    <w:basedOn w:val="a0"/>
    <w:next w:val="a0"/>
    <w:qFormat/>
    <w:pPr>
      <w:keepNext/>
      <w:outlineLvl w:val="0"/>
    </w:pPr>
    <w:rPr>
      <w:rFonts w:ascii="楷体_GB2312"/>
      <w:sz w:val="28"/>
    </w:rPr>
  </w:style>
  <w:style w:type="paragraph" w:styleId="2">
    <w:name w:val="heading 2"/>
    <w:basedOn w:val="a0"/>
    <w:next w:val="a0"/>
    <w:qFormat/>
    <w:pPr>
      <w:keepNext/>
      <w:keepLines/>
      <w:spacing w:before="260" w:after="260" w:line="413" w:lineRule="auto"/>
      <w:outlineLvl w:val="1"/>
    </w:pPr>
    <w:rPr>
      <w:rFonts w:ascii="Arial" w:eastAsia="黑体" w:hAnsi="Arial"/>
      <w:b/>
      <w:sz w:val="32"/>
    </w:rPr>
  </w:style>
  <w:style w:type="paragraph" w:styleId="3">
    <w:name w:val="heading 3"/>
    <w:basedOn w:val="a0"/>
    <w:next w:val="a0"/>
    <w:qFormat/>
    <w:pPr>
      <w:keepNext/>
      <w:jc w:val="right"/>
      <w:outlineLvl w:val="2"/>
    </w:pPr>
    <w:rPr>
      <w:sz w:val="32"/>
    </w:rPr>
  </w:style>
  <w:style w:type="paragraph" w:styleId="4">
    <w:name w:val="heading 4"/>
    <w:basedOn w:val="a0"/>
    <w:next w:val="a0"/>
    <w:qFormat/>
    <w:pPr>
      <w:keepNext/>
      <w:jc w:val="center"/>
      <w:outlineLvl w:val="3"/>
    </w:pPr>
    <w:rPr>
      <w:b/>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text"/>
    <w:basedOn w:val="a0"/>
    <w:link w:val="a5"/>
    <w:qFormat/>
    <w:pPr>
      <w:jc w:val="left"/>
    </w:pPr>
  </w:style>
  <w:style w:type="paragraph" w:styleId="a6">
    <w:name w:val="Body Text"/>
    <w:basedOn w:val="a0"/>
    <w:autoRedefine/>
    <w:qFormat/>
    <w:pPr>
      <w:adjustRightInd w:val="0"/>
      <w:jc w:val="left"/>
      <w:textAlignment w:val="baseline"/>
    </w:pPr>
    <w:rPr>
      <w:kern w:val="0"/>
      <w:sz w:val="20"/>
    </w:rPr>
  </w:style>
  <w:style w:type="paragraph" w:styleId="a7">
    <w:name w:val="Body Text Indent"/>
    <w:basedOn w:val="a0"/>
    <w:qFormat/>
    <w:pPr>
      <w:ind w:firstLineChars="171" w:firstLine="359"/>
    </w:pPr>
    <w:rPr>
      <w:rFonts w:ascii="黑体"/>
    </w:rPr>
  </w:style>
  <w:style w:type="paragraph" w:styleId="a8">
    <w:name w:val="Date"/>
    <w:basedOn w:val="a0"/>
    <w:next w:val="a0"/>
    <w:qFormat/>
    <w:pPr>
      <w:ind w:leftChars="2500" w:left="100"/>
    </w:pPr>
  </w:style>
  <w:style w:type="paragraph" w:styleId="20">
    <w:name w:val="Body Text Indent 2"/>
    <w:basedOn w:val="a0"/>
    <w:autoRedefine/>
    <w:qFormat/>
    <w:pPr>
      <w:spacing w:after="120" w:line="480" w:lineRule="auto"/>
      <w:ind w:leftChars="200" w:left="420"/>
    </w:pPr>
  </w:style>
  <w:style w:type="paragraph" w:styleId="a9">
    <w:name w:val="Balloon Text"/>
    <w:basedOn w:val="a0"/>
    <w:qFormat/>
    <w:rPr>
      <w:sz w:val="18"/>
    </w:rPr>
  </w:style>
  <w:style w:type="paragraph" w:styleId="aa">
    <w:name w:val="footer"/>
    <w:basedOn w:val="a0"/>
    <w:qFormat/>
    <w:pPr>
      <w:tabs>
        <w:tab w:val="center" w:pos="4153"/>
        <w:tab w:val="right" w:pos="8306"/>
      </w:tabs>
      <w:snapToGrid w:val="0"/>
      <w:jc w:val="left"/>
    </w:pPr>
    <w:rPr>
      <w:sz w:val="18"/>
    </w:rPr>
  </w:style>
  <w:style w:type="paragraph" w:styleId="ab">
    <w:name w:val="header"/>
    <w:basedOn w:val="a0"/>
    <w:qFormat/>
    <w:pPr>
      <w:pBdr>
        <w:bottom w:val="single" w:sz="6" w:space="1" w:color="auto"/>
      </w:pBdr>
      <w:tabs>
        <w:tab w:val="center" w:pos="4153"/>
        <w:tab w:val="right" w:pos="8306"/>
      </w:tabs>
      <w:snapToGrid w:val="0"/>
      <w:jc w:val="center"/>
    </w:pPr>
    <w:rPr>
      <w:sz w:val="18"/>
    </w:rPr>
  </w:style>
  <w:style w:type="paragraph" w:styleId="ac">
    <w:name w:val="Normal (Web)"/>
    <w:basedOn w:val="a0"/>
    <w:qFormat/>
    <w:pPr>
      <w:widowControl/>
      <w:spacing w:before="100" w:beforeAutospacing="1" w:after="100" w:afterAutospacing="1" w:line="360" w:lineRule="auto"/>
      <w:jc w:val="left"/>
    </w:pPr>
    <w:rPr>
      <w:rFonts w:ascii="ˎ̥" w:hAnsi="ˎ̥" w:cs="宋体"/>
      <w:kern w:val="0"/>
      <w:sz w:val="18"/>
      <w:szCs w:val="18"/>
    </w:rPr>
  </w:style>
  <w:style w:type="paragraph" w:styleId="ad">
    <w:name w:val="annotation subject"/>
    <w:basedOn w:val="a4"/>
    <w:next w:val="a4"/>
    <w:link w:val="ae"/>
    <w:qFormat/>
    <w:rPr>
      <w:b/>
      <w:bCs/>
    </w:rPr>
  </w:style>
  <w:style w:type="table" w:styleId="af">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qFormat/>
    <w:rPr>
      <w:b/>
      <w:bCs/>
    </w:rPr>
  </w:style>
  <w:style w:type="character" w:styleId="af1">
    <w:name w:val="Emphasis"/>
    <w:basedOn w:val="a1"/>
    <w:qFormat/>
    <w:rPr>
      <w:i/>
    </w:rPr>
  </w:style>
  <w:style w:type="character" w:styleId="af2">
    <w:name w:val="Hyperlink"/>
    <w:autoRedefine/>
    <w:qFormat/>
    <w:rPr>
      <w:color w:val="0000FF"/>
      <w:u w:val="single"/>
    </w:rPr>
  </w:style>
  <w:style w:type="character" w:styleId="af3">
    <w:name w:val="annotation reference"/>
    <w:basedOn w:val="a1"/>
    <w:qFormat/>
    <w:rPr>
      <w:sz w:val="21"/>
      <w:szCs w:val="21"/>
    </w:rPr>
  </w:style>
  <w:style w:type="paragraph" w:customStyle="1" w:styleId="CharCharChar1Char">
    <w:name w:val="Char Char Char1 Char"/>
    <w:basedOn w:val="a0"/>
    <w:autoRedefine/>
    <w:qFormat/>
    <w:rPr>
      <w:szCs w:val="24"/>
    </w:rPr>
  </w:style>
  <w:style w:type="paragraph" w:customStyle="1" w:styleId="af4">
    <w:name w:val="标准标志"/>
    <w:next w:val="a0"/>
    <w:qFormat/>
    <w:pPr>
      <w:shd w:val="solid" w:color="FFFFFF" w:fill="FFFFFF"/>
      <w:spacing w:line="0" w:lineRule="atLeast"/>
      <w:jc w:val="right"/>
    </w:pPr>
    <w:rPr>
      <w:b/>
      <w:w w:val="130"/>
      <w:sz w:val="96"/>
    </w:rPr>
  </w:style>
  <w:style w:type="paragraph" w:customStyle="1" w:styleId="Default">
    <w:name w:val="Default"/>
    <w:qFormat/>
    <w:pPr>
      <w:widowControl w:val="0"/>
      <w:autoSpaceDE w:val="0"/>
      <w:autoSpaceDN w:val="0"/>
      <w:adjustRightInd w:val="0"/>
    </w:pPr>
    <w:rPr>
      <w:color w:val="000000"/>
      <w:sz w:val="24"/>
    </w:rPr>
  </w:style>
  <w:style w:type="paragraph" w:customStyle="1" w:styleId="Style23">
    <w:name w:val="_Style 23"/>
    <w:basedOn w:val="a0"/>
    <w:qFormat/>
  </w:style>
  <w:style w:type="paragraph" w:customStyle="1" w:styleId="af5">
    <w:name w:val="段"/>
    <w:link w:val="Char"/>
    <w:qFormat/>
    <w:pPr>
      <w:tabs>
        <w:tab w:val="center" w:pos="4201"/>
        <w:tab w:val="right" w:leader="dot" w:pos="9298"/>
      </w:tabs>
      <w:autoSpaceDE w:val="0"/>
      <w:autoSpaceDN w:val="0"/>
      <w:ind w:firstLineChars="200" w:firstLine="420"/>
      <w:jc w:val="both"/>
    </w:pPr>
    <w:rPr>
      <w:rFonts w:ascii="宋体"/>
      <w:sz w:val="21"/>
    </w:rPr>
  </w:style>
  <w:style w:type="character" w:customStyle="1" w:styleId="Char">
    <w:name w:val="段 Char"/>
    <w:link w:val="af5"/>
    <w:autoRedefine/>
    <w:qFormat/>
    <w:rPr>
      <w:rFonts w:ascii="宋体" w:eastAsia="宋体"/>
      <w:sz w:val="21"/>
      <w:lang w:val="en-US" w:eastAsia="zh-CN" w:bidi="ar-SA"/>
    </w:rPr>
  </w:style>
  <w:style w:type="paragraph" w:customStyle="1" w:styleId="af6">
    <w:name w:val="封面标准文稿编辑信息"/>
    <w:autoRedefine/>
    <w:qFormat/>
    <w:pPr>
      <w:spacing w:before="180" w:line="180" w:lineRule="exact"/>
      <w:jc w:val="center"/>
    </w:pPr>
    <w:rPr>
      <w:rFonts w:ascii="宋体"/>
      <w:sz w:val="21"/>
    </w:rPr>
  </w:style>
  <w:style w:type="paragraph" w:customStyle="1" w:styleId="af7">
    <w:name w:val="章标题"/>
    <w:next w:val="a0"/>
    <w:autoRedefine/>
    <w:qFormat/>
    <w:pPr>
      <w:spacing w:beforeLines="50" w:before="50" w:afterLines="50" w:after="50"/>
      <w:jc w:val="both"/>
      <w:outlineLvl w:val="1"/>
    </w:pPr>
    <w:rPr>
      <w:rFonts w:ascii="黑体" w:eastAsia="黑体"/>
      <w:sz w:val="21"/>
    </w:rPr>
  </w:style>
  <w:style w:type="paragraph" w:customStyle="1" w:styleId="af8">
    <w:name w:val="标准文件_段"/>
    <w:qFormat/>
    <w:pPr>
      <w:autoSpaceDE w:val="0"/>
      <w:autoSpaceDN w:val="0"/>
      <w:ind w:firstLineChars="200" w:firstLine="200"/>
      <w:jc w:val="both"/>
    </w:pPr>
    <w:rPr>
      <w:rFonts w:ascii="宋体"/>
      <w:sz w:val="21"/>
    </w:rPr>
  </w:style>
  <w:style w:type="character" w:customStyle="1" w:styleId="a5">
    <w:name w:val="批注文字 字符"/>
    <w:basedOn w:val="a1"/>
    <w:link w:val="a4"/>
    <w:qFormat/>
    <w:rPr>
      <w:kern w:val="2"/>
      <w:sz w:val="21"/>
    </w:rPr>
  </w:style>
  <w:style w:type="character" w:customStyle="1" w:styleId="ae">
    <w:name w:val="批注主题 字符"/>
    <w:basedOn w:val="a5"/>
    <w:link w:val="ad"/>
    <w:qFormat/>
    <w:rPr>
      <w:b/>
      <w:bCs/>
      <w:kern w:val="2"/>
      <w:sz w:val="21"/>
    </w:rPr>
  </w:style>
  <w:style w:type="paragraph" w:customStyle="1" w:styleId="a">
    <w:name w:val="标准文件_章标题"/>
    <w:next w:val="af8"/>
    <w:qFormat/>
    <w:pPr>
      <w:numPr>
        <w:ilvl w:val="1"/>
        <w:numId w:val="1"/>
      </w:numPr>
      <w:spacing w:beforeLines="100" w:before="100" w:afterLines="100" w:after="100"/>
      <w:jc w:val="both"/>
      <w:outlineLvl w:val="0"/>
    </w:pPr>
    <w:rPr>
      <w:rFonts w:ascii="黑体" w:eastAsia="黑体"/>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1347</Words>
  <Characters>1429</Characters>
  <Application>Microsoft Office Word</Application>
  <DocSecurity>0</DocSecurity>
  <Lines>51</Lines>
  <Paragraphs>47</Paragraphs>
  <ScaleCrop>false</ScaleCrop>
  <Company>sht</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国际标准             ISO</dc:title>
  <dc:creator>yjh</dc:creator>
  <cp:lastModifiedBy>杜迓涓</cp:lastModifiedBy>
  <cp:revision>17</cp:revision>
  <cp:lastPrinted>2011-12-27T02:07:00Z</cp:lastPrinted>
  <dcterms:created xsi:type="dcterms:W3CDTF">2011-12-21T00:43:00Z</dcterms:created>
  <dcterms:modified xsi:type="dcterms:W3CDTF">2026-09-23T08:07:00Z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F2149BC0B6634C11917C4FE64D35EC80_13</vt:lpwstr>
  </property>
  <property fmtid="{D5CDD505-2E9C-101B-9397-08002B2CF9AE}" pid="4" name="KSOTemplateDocerSaveRecord">
    <vt:lpwstr>eyJoZGlkIjoiODI4MDdjOWY4ZGNhNGNiODAxOWM0ZGIxODY1Mjk3NGIiLCJ1c2VySWQiOiI4MzMyOTk0NzcifQ==</vt:lpwstr>
  </property>
</Properties>
</file>